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color w:val="000000"/>
          <w:kern w:val="0"/>
        </w:rPr>
      </w:pPr>
      <w:r>
        <w:rPr>
          <w:rFonts w:hint="eastAsia" w:ascii="黑体" w:hAnsi="Times New Roman" w:eastAsia="黑体"/>
          <w:color w:val="000000"/>
          <w:kern w:val="0"/>
        </w:rPr>
        <w:t>附件2</w:t>
      </w:r>
    </w:p>
    <w:p>
      <w:pPr>
        <w:spacing w:line="560" w:lineRule="exact"/>
        <w:rPr>
          <w:rFonts w:hint="eastAsia" w:ascii="仿宋_GB2312" w:hAnsi="Times New Roman" w:eastAsia="仿宋_GB2312"/>
          <w:color w:val="000000"/>
          <w:kern w:val="0"/>
        </w:rPr>
      </w:pPr>
    </w:p>
    <w:p>
      <w:pPr>
        <w:spacing w:line="560" w:lineRule="exact"/>
        <w:ind w:left="1134" w:leftChars="148" w:right="35" w:rightChars="11" w:hanging="660" w:hangingChars="150"/>
        <w:jc w:val="left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2017年信息公开、投诉举报、集体经济组织成员权益类复议案件相关情况统计表</w:t>
      </w:r>
      <w:bookmarkEnd w:id="0"/>
    </w:p>
    <w:p>
      <w:pPr>
        <w:spacing w:line="560" w:lineRule="exact"/>
        <w:ind w:right="35" w:rightChars="11" w:firstLine="301" w:firstLineChars="98"/>
        <w:jc w:val="left"/>
        <w:rPr>
          <w:rFonts w:hint="eastAsia" w:ascii="Times New Roman" w:hAnsi="Times New Roman" w:eastAsia="仿宋_GB2312"/>
          <w:spacing w:val="-6"/>
        </w:rPr>
      </w:pPr>
      <w:r>
        <w:rPr>
          <w:rFonts w:ascii="Times New Roman" w:hAnsi="Times New Roman" w:eastAsia="仿宋_GB2312"/>
          <w:spacing w:val="-6"/>
        </w:rPr>
        <w:t xml:space="preserve"> </w:t>
      </w:r>
    </w:p>
    <w:p>
      <w:pPr>
        <w:spacing w:line="580" w:lineRule="exact"/>
        <w:ind w:right="35" w:rightChars="11" w:firstLine="301" w:firstLineChars="98"/>
        <w:jc w:val="left"/>
        <w:rPr>
          <w:rFonts w:ascii="Times New Roman" w:hAnsi="Times New Roman" w:eastAsia="仿宋_GB2312"/>
          <w:spacing w:val="-6"/>
        </w:rPr>
      </w:pPr>
      <w:r>
        <w:rPr>
          <w:rFonts w:hint="eastAsia" w:ascii="仿宋_GB2312" w:hAnsi="Times New Roman" w:eastAsia="仿宋_GB2312"/>
          <w:spacing w:val="-6"/>
        </w:rPr>
        <w:t>填报单位（行政区或部门）：广州市旅游局</w:t>
      </w:r>
    </w:p>
    <w:tbl>
      <w:tblPr>
        <w:tblStyle w:val="3"/>
        <w:tblW w:w="8080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17"/>
        <w:gridCol w:w="1418"/>
        <w:gridCol w:w="1842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数量</w:t>
            </w:r>
          </w:p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案件类型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收案</w:t>
            </w:r>
          </w:p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受理</w:t>
            </w:r>
          </w:p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数量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直接撤改</w:t>
            </w:r>
          </w:p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间接撤改数量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pacing w:val="-6"/>
                <w:sz w:val="28"/>
                <w:szCs w:val="28"/>
              </w:rPr>
              <w:t>信息公开类复议案件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pacing w:val="-6"/>
                <w:sz w:val="28"/>
                <w:szCs w:val="28"/>
              </w:rPr>
              <w:t>投诉举报类复议案件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hint="eastAsia" w:ascii="黑体" w:hAnsi="Times New Roman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pacing w:val="-6"/>
                <w:sz w:val="28"/>
                <w:szCs w:val="28"/>
              </w:rPr>
              <w:t>集体经济组织成员权益类复议案件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35" w:rightChars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ind w:right="35" w:rightChars="11"/>
        <w:rPr>
          <w:rFonts w:ascii="Times New Roman" w:hAnsi="Times New Roman" w:cs="Times New Roman"/>
        </w:rPr>
      </w:pPr>
      <w:r>
        <w:rPr>
          <w:rFonts w:hint="eastAsia" w:ascii="宋体" w:hAnsi="宋体"/>
        </w:rPr>
        <w:t>（注：本表由复议机关填写）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87EED"/>
    <w:rsid w:val="600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2018-01-18T06:59:00Z</dcterms:created>
  <dc:creator>广州旅游</dc:creator>
  <cp:lastModifiedBy>广州旅游</cp:lastModifiedBy>
  <dcterms:modified xsi:type="dcterms:W3CDTF">2018-01-18T07:00:17Z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