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4715" w:type="dxa"/>
        <w:tblInd w:w="-391" w:type="dxa"/>
        <w:tblLayout w:type="fixed"/>
        <w:tblCellMar>
          <w:top w:w="0" w:type="dxa"/>
          <w:left w:w="0" w:type="dxa"/>
          <w:bottom w:w="0" w:type="dxa"/>
          <w:right w:w="0" w:type="dxa"/>
        </w:tblCellMar>
      </w:tblPr>
      <w:tblGrid>
        <w:gridCol w:w="1800"/>
        <w:gridCol w:w="3060"/>
        <w:gridCol w:w="4560"/>
        <w:gridCol w:w="1290"/>
        <w:gridCol w:w="4005"/>
      </w:tblGrid>
      <w:tr>
        <w:tblPrEx>
          <w:tblLayout w:type="fixed"/>
          <w:tblCellMar>
            <w:top w:w="0" w:type="dxa"/>
            <w:left w:w="0" w:type="dxa"/>
            <w:bottom w:w="0" w:type="dxa"/>
            <w:right w:w="0" w:type="dxa"/>
          </w:tblCellMar>
        </w:tblPrEx>
        <w:trPr>
          <w:trHeight w:val="762" w:hRule="atLeast"/>
        </w:trPr>
        <w:tc>
          <w:tcPr>
            <w:tcW w:w="14715" w:type="dxa"/>
            <w:gridSpan w:val="5"/>
            <w:tcBorders>
              <w:top w:val="nil"/>
              <w:left w:val="nil"/>
              <w:bottom w:val="nil"/>
              <w:right w:val="nil"/>
            </w:tcBorders>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auto"/>
                <w:kern w:val="0"/>
                <w:sz w:val="28"/>
                <w:szCs w:val="28"/>
                <w:u w:val="none"/>
                <w:lang w:val="en-US" w:eastAsia="zh-CN" w:bidi="ar"/>
              </w:rPr>
            </w:pPr>
            <w:r>
              <w:rPr>
                <w:rFonts w:hint="eastAsia" w:ascii="黑体" w:hAnsi="黑体" w:eastAsia="黑体" w:cs="黑体"/>
                <w:i w:val="0"/>
                <w:color w:val="auto"/>
                <w:kern w:val="0"/>
                <w:sz w:val="28"/>
                <w:szCs w:val="28"/>
                <w:u w:val="none"/>
                <w:lang w:val="en-US" w:eastAsia="zh-CN" w:bidi="ar"/>
              </w:rPr>
              <w:t>附件2</w:t>
            </w:r>
          </w:p>
        </w:tc>
      </w:tr>
      <w:tr>
        <w:tblPrEx>
          <w:tblLayout w:type="fixed"/>
          <w:tblCellMar>
            <w:top w:w="0" w:type="dxa"/>
            <w:left w:w="0" w:type="dxa"/>
            <w:bottom w:w="0" w:type="dxa"/>
            <w:right w:w="0" w:type="dxa"/>
          </w:tblCellMar>
        </w:tblPrEx>
        <w:trPr>
          <w:trHeight w:val="679" w:hRule="atLeast"/>
        </w:trPr>
        <w:tc>
          <w:tcPr>
            <w:tcW w:w="14715" w:type="dxa"/>
            <w:gridSpan w:val="5"/>
            <w:tcBorders>
              <w:top w:val="nil"/>
              <w:left w:val="nil"/>
              <w:bottom w:val="nil"/>
              <w:right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44"/>
                <w:szCs w:val="44"/>
                <w:u w:val="none"/>
                <w:lang w:val="en-US" w:eastAsia="zh-CN" w:bidi="ar"/>
              </w:rPr>
            </w:pPr>
            <w:bookmarkStart w:id="0" w:name="_GoBack" w:colFirst="0" w:colLast="4"/>
            <w:r>
              <w:rPr>
                <w:rFonts w:hint="eastAsia" w:ascii="方正小标宋简体" w:hAnsi="方正小标宋简体" w:eastAsia="方正小标宋简体" w:cs="方正小标宋简体"/>
                <w:b w:val="0"/>
                <w:bCs/>
                <w:i w:val="0"/>
                <w:color w:val="000000"/>
                <w:kern w:val="0"/>
                <w:sz w:val="44"/>
                <w:szCs w:val="44"/>
                <w:u w:val="none"/>
                <w:lang w:val="en-US" w:eastAsia="zh-CN" w:bidi="ar"/>
              </w:rPr>
              <w:t>2017年《财富》全球论坛配偶项目8月1-2日踩线整改问题征求意见采纳表</w:t>
            </w:r>
          </w:p>
        </w:tc>
      </w:tr>
      <w:bookmarkEnd w:id="0"/>
      <w:tr>
        <w:tblPrEx>
          <w:tblLayout w:type="fixed"/>
          <w:tblCellMar>
            <w:top w:w="0" w:type="dxa"/>
            <w:left w:w="0" w:type="dxa"/>
            <w:bottom w:w="0" w:type="dxa"/>
            <w:right w:w="0" w:type="dxa"/>
          </w:tblCellMar>
        </w:tblPrEx>
        <w:trPr>
          <w:trHeight w:val="647" w:hRule="atLeast"/>
        </w:trPr>
        <w:tc>
          <w:tcPr>
            <w:tcW w:w="18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val="0"/>
                <w:bCs/>
                <w:i w:val="0"/>
                <w:color w:val="auto"/>
                <w:sz w:val="28"/>
                <w:szCs w:val="28"/>
                <w:u w:val="none"/>
              </w:rPr>
            </w:pPr>
            <w:r>
              <w:rPr>
                <w:rFonts w:hint="eastAsia" w:ascii="黑体" w:hAnsi="黑体" w:eastAsia="黑体" w:cs="黑体"/>
                <w:b w:val="0"/>
                <w:bCs/>
                <w:i w:val="0"/>
                <w:color w:val="auto"/>
                <w:kern w:val="0"/>
                <w:sz w:val="28"/>
                <w:szCs w:val="28"/>
                <w:u w:val="none"/>
                <w:lang w:val="en-US" w:eastAsia="zh-CN" w:bidi="ar"/>
              </w:rPr>
              <w:t>团队</w:t>
            </w:r>
          </w:p>
        </w:tc>
        <w:tc>
          <w:tcPr>
            <w:tcW w:w="306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val="0"/>
                <w:bCs/>
                <w:i w:val="0"/>
                <w:color w:val="auto"/>
                <w:sz w:val="28"/>
                <w:szCs w:val="28"/>
                <w:u w:val="none"/>
              </w:rPr>
            </w:pPr>
            <w:r>
              <w:rPr>
                <w:rFonts w:hint="eastAsia" w:ascii="黑体" w:hAnsi="黑体" w:eastAsia="黑体" w:cs="黑体"/>
                <w:b w:val="0"/>
                <w:bCs/>
                <w:i w:val="0"/>
                <w:color w:val="auto"/>
                <w:kern w:val="0"/>
                <w:sz w:val="28"/>
                <w:szCs w:val="28"/>
                <w:u w:val="none"/>
                <w:lang w:val="en-US" w:eastAsia="zh-CN" w:bidi="ar"/>
              </w:rPr>
              <w:t>问题反馈表格中的内容</w:t>
            </w:r>
          </w:p>
        </w:tc>
        <w:tc>
          <w:tcPr>
            <w:tcW w:w="456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val="0"/>
                <w:bCs/>
                <w:i w:val="0"/>
                <w:color w:val="auto"/>
                <w:sz w:val="28"/>
                <w:szCs w:val="28"/>
                <w:u w:val="none"/>
              </w:rPr>
            </w:pPr>
            <w:r>
              <w:rPr>
                <w:rFonts w:hint="eastAsia" w:ascii="黑体" w:hAnsi="黑体" w:eastAsia="黑体" w:cs="黑体"/>
                <w:b w:val="0"/>
                <w:bCs/>
                <w:i w:val="0"/>
                <w:color w:val="auto"/>
                <w:kern w:val="0"/>
                <w:sz w:val="28"/>
                <w:szCs w:val="28"/>
                <w:u w:val="none"/>
                <w:lang w:val="en-US" w:eastAsia="zh-CN" w:bidi="ar"/>
              </w:rPr>
              <w:t>修改建议</w:t>
            </w:r>
          </w:p>
        </w:tc>
        <w:tc>
          <w:tcPr>
            <w:tcW w:w="129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val="0"/>
                <w:bCs/>
                <w:i w:val="0"/>
                <w:color w:val="auto"/>
                <w:sz w:val="28"/>
                <w:szCs w:val="28"/>
                <w:u w:val="none"/>
              </w:rPr>
            </w:pPr>
            <w:r>
              <w:rPr>
                <w:rFonts w:hint="eastAsia" w:ascii="黑体" w:hAnsi="黑体" w:eastAsia="黑体" w:cs="黑体"/>
                <w:b w:val="0"/>
                <w:bCs/>
                <w:i w:val="0"/>
                <w:color w:val="auto"/>
                <w:kern w:val="0"/>
                <w:sz w:val="28"/>
                <w:szCs w:val="28"/>
                <w:u w:val="none"/>
                <w:lang w:val="en-US" w:eastAsia="zh-CN" w:bidi="ar"/>
              </w:rPr>
              <w:t>采纳情况</w:t>
            </w:r>
          </w:p>
        </w:tc>
        <w:tc>
          <w:tcPr>
            <w:tcW w:w="4005" w:type="dxa"/>
            <w:tcBorders>
              <w:top w:val="single" w:color="auto" w:sz="4" w:space="0"/>
              <w:left w:val="nil"/>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val="0"/>
                <w:bCs/>
                <w:i w:val="0"/>
                <w:color w:val="auto"/>
                <w:sz w:val="28"/>
                <w:szCs w:val="28"/>
                <w:u w:val="none"/>
              </w:rPr>
            </w:pPr>
            <w:r>
              <w:rPr>
                <w:rFonts w:hint="eastAsia" w:ascii="黑体" w:hAnsi="黑体" w:eastAsia="黑体" w:cs="黑体"/>
                <w:b w:val="0"/>
                <w:bCs/>
                <w:i w:val="0"/>
                <w:color w:val="auto"/>
                <w:kern w:val="0"/>
                <w:sz w:val="28"/>
                <w:szCs w:val="28"/>
                <w:u w:val="none"/>
                <w:lang w:val="en-US" w:eastAsia="zh-CN" w:bidi="ar"/>
              </w:rPr>
              <w:t>理由</w:t>
            </w:r>
          </w:p>
        </w:tc>
      </w:tr>
      <w:tr>
        <w:tblPrEx>
          <w:tblLayout w:type="fixed"/>
          <w:tblCellMar>
            <w:top w:w="0" w:type="dxa"/>
            <w:left w:w="0" w:type="dxa"/>
            <w:bottom w:w="0" w:type="dxa"/>
            <w:right w:w="0" w:type="dxa"/>
          </w:tblCellMar>
        </w:tblPrEx>
        <w:trPr>
          <w:trHeight w:val="90" w:hRule="atLeast"/>
        </w:trPr>
        <w:tc>
          <w:tcPr>
            <w:tcW w:w="18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交通保障团队</w:t>
            </w:r>
          </w:p>
        </w:tc>
        <w:tc>
          <w:tcPr>
            <w:tcW w:w="30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需解决志愿者从市区往返沙湾古镇、神农草堂的交通问题（注：针对在沙湾古镇、神农草堂定点工作的几十名志愿者的乘车问题，不是随团志愿者）</w:t>
            </w:r>
          </w:p>
        </w:tc>
        <w:tc>
          <w:tcPr>
            <w:tcW w:w="45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建议将沙湾古镇、神农草堂的非随团志愿者交通问题的牵头部门修改为志愿服务团队。</w:t>
            </w:r>
          </w:p>
        </w:tc>
        <w:tc>
          <w:tcPr>
            <w:tcW w:w="12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不予采纳</w:t>
            </w:r>
          </w:p>
        </w:tc>
        <w:tc>
          <w:tcPr>
            <w:tcW w:w="40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根据执委会志愿服务团队《2017广州〈财富〉全球论坛志愿者保障方案》职责分工，会期服务期间由志愿服务团队牵头负责志愿者交通保障（公共交通，如发放补贴或免费羊城通)。但由于沙湾古镇、神农草堂无法使用公共交通到达，因此由交通保障团队负责保障往返两地志愿者的交通问题。</w:t>
            </w:r>
          </w:p>
        </w:tc>
      </w:tr>
      <w:tr>
        <w:tblPrEx>
          <w:tblLayout w:type="fixed"/>
          <w:tblCellMar>
            <w:top w:w="0" w:type="dxa"/>
            <w:left w:w="0" w:type="dxa"/>
            <w:bottom w:w="0" w:type="dxa"/>
            <w:right w:w="0" w:type="dxa"/>
          </w:tblCellMar>
        </w:tblPrEx>
        <w:trPr>
          <w:trHeight w:val="2764" w:hRule="atLeast"/>
        </w:trPr>
        <w:tc>
          <w:tcPr>
            <w:tcW w:w="18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outlineLvl w:val="9"/>
              <w:rPr>
                <w:rFonts w:hint="eastAsia" w:ascii="仿宋_GB2312" w:hAnsi="仿宋_GB2312" w:eastAsia="仿宋_GB2312" w:cs="仿宋_GB2312"/>
                <w:i w:val="0"/>
                <w:color w:val="auto"/>
                <w:sz w:val="24"/>
                <w:szCs w:val="24"/>
                <w:u w:val="none"/>
              </w:rPr>
            </w:pPr>
          </w:p>
        </w:tc>
        <w:tc>
          <w:tcPr>
            <w:tcW w:w="30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w:t>
            </w:r>
          </w:p>
        </w:tc>
        <w:tc>
          <w:tcPr>
            <w:tcW w:w="45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建议增加协调相关酒店（广州大厦和白天鹅宾馆）解决北京路（大巴车）及沙面（中巴车）车辆停放问题，牵头及配合单位建议为酒店与参观团队、交通保障团队、安全保障团队，由酒店与参观团队负责统筹协调，交通保障团队及安全保障团队负责具体对接。</w:t>
            </w:r>
          </w:p>
        </w:tc>
        <w:tc>
          <w:tcPr>
            <w:tcW w:w="12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部分采纳</w:t>
            </w:r>
          </w:p>
        </w:tc>
        <w:tc>
          <w:tcPr>
            <w:tcW w:w="40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车辆停放问题是由交通保障团队牵头负责，酒店与参观团队、安保团队给予协助。我团队已协调好白天鹅宾馆的停车问题。</w:t>
            </w:r>
          </w:p>
        </w:tc>
      </w:tr>
      <w:tr>
        <w:tblPrEx>
          <w:tblLayout w:type="fixed"/>
          <w:tblCellMar>
            <w:top w:w="0" w:type="dxa"/>
            <w:left w:w="0" w:type="dxa"/>
            <w:bottom w:w="0" w:type="dxa"/>
            <w:right w:w="0" w:type="dxa"/>
          </w:tblCellMar>
        </w:tblPrEx>
        <w:trPr>
          <w:trHeight w:val="3695" w:hRule="atLeast"/>
        </w:trPr>
        <w:tc>
          <w:tcPr>
            <w:tcW w:w="180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安全保障团队</w:t>
            </w:r>
          </w:p>
        </w:tc>
        <w:tc>
          <w:tcPr>
            <w:tcW w:w="30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北京路旗袍秀表演维持20分钟</w:t>
            </w:r>
          </w:p>
        </w:tc>
        <w:tc>
          <w:tcPr>
            <w:tcW w:w="45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12月6日（星期三）13时至15时的“广州古城游”（北京路）路线中，因北京路步行街属于开放空间，日常人流量巨大。 配偶团参观期间会吸引大量的游客及市民聚集围观，存在较大的安全风险。建议将花样旗袍秀的时间缩短为10分钟并在T台四周设置硬质隔离设施。</w:t>
            </w:r>
          </w:p>
        </w:tc>
        <w:tc>
          <w:tcPr>
            <w:tcW w:w="12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部分采纳</w:t>
            </w:r>
          </w:p>
        </w:tc>
        <w:tc>
          <w:tcPr>
            <w:tcW w:w="40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经沟通，外方坚持已确定线路并维持表演时间20分钟不变。人流控制方案另行研究。</w:t>
            </w:r>
          </w:p>
        </w:tc>
      </w:tr>
      <w:tr>
        <w:tblPrEx>
          <w:tblLayout w:type="fixed"/>
          <w:tblCellMar>
            <w:top w:w="0" w:type="dxa"/>
            <w:left w:w="0" w:type="dxa"/>
            <w:bottom w:w="0" w:type="dxa"/>
            <w:right w:w="0" w:type="dxa"/>
          </w:tblCellMar>
        </w:tblPrEx>
        <w:trPr>
          <w:trHeight w:val="4530" w:hRule="atLeast"/>
        </w:trPr>
        <w:tc>
          <w:tcPr>
            <w:tcW w:w="180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outlineLvl w:val="9"/>
              <w:rPr>
                <w:rFonts w:hint="eastAsia" w:ascii="仿宋_GB2312" w:hAnsi="仿宋_GB2312" w:eastAsia="仿宋_GB2312" w:cs="仿宋_GB2312"/>
                <w:i w:val="0"/>
                <w:color w:val="auto"/>
                <w:sz w:val="24"/>
                <w:szCs w:val="24"/>
                <w:u w:val="none"/>
              </w:rPr>
            </w:pPr>
          </w:p>
        </w:tc>
        <w:tc>
          <w:tcPr>
            <w:tcW w:w="30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白云山梅花谷荟享餐厅的消防问题整改及许可证</w:t>
            </w:r>
          </w:p>
        </w:tc>
        <w:tc>
          <w:tcPr>
            <w:tcW w:w="45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12月8日（星期五）6时至9时白云山漫步路线（翠竹园—黄婆洞水库—梅花谷，并在梅花谷餐厅早餐）中，广州市荟享餐饮有限公司(即梅花谷餐厅)因存在消防隐患已被责令停业整顿，具体情况已函告贵团队（《安全保障团队关于通报广州市荟享餐饮有限公司（梅花谷餐厅）停业整顿情况的函》穗财富执安[2017]25号），建议慎重考虑餐厅选址。</w:t>
            </w:r>
          </w:p>
        </w:tc>
        <w:tc>
          <w:tcPr>
            <w:tcW w:w="12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部分采纳</w:t>
            </w:r>
          </w:p>
        </w:tc>
        <w:tc>
          <w:tcPr>
            <w:tcW w:w="40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参观考察线路经《财富》方现场考察确定并报经市政府批准确定，《财富》方坚持不更改，且当天不在该餐厅现场烹饪，采用外卖形式配送早餐。我团队已发函商请白云山管理局，并市林业和园林局、白云区政府及荟享餐厅根据安保团队的要求做好整改工作。</w:t>
            </w:r>
          </w:p>
        </w:tc>
      </w:tr>
      <w:tr>
        <w:tblPrEx>
          <w:tblLayout w:type="fixed"/>
          <w:tblCellMar>
            <w:top w:w="0" w:type="dxa"/>
            <w:left w:w="0" w:type="dxa"/>
            <w:bottom w:w="0" w:type="dxa"/>
            <w:right w:w="0" w:type="dxa"/>
          </w:tblCellMar>
        </w:tblPrEx>
        <w:trPr>
          <w:trHeight w:val="3327" w:hRule="atLeast"/>
        </w:trPr>
        <w:tc>
          <w:tcPr>
            <w:tcW w:w="180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outlineLvl w:val="9"/>
              <w:rPr>
                <w:rFonts w:hint="eastAsia" w:ascii="仿宋_GB2312" w:hAnsi="仿宋_GB2312" w:eastAsia="仿宋_GB2312" w:cs="仿宋_GB2312"/>
                <w:i w:val="0"/>
                <w:color w:val="auto"/>
                <w:sz w:val="24"/>
                <w:szCs w:val="24"/>
                <w:u w:val="none"/>
              </w:rPr>
            </w:pPr>
          </w:p>
        </w:tc>
        <w:tc>
          <w:tcPr>
            <w:tcW w:w="30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w:t>
            </w:r>
          </w:p>
        </w:tc>
        <w:tc>
          <w:tcPr>
            <w:tcW w:w="45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为做好配偶团车辆管理相关工作，按照安保政策的要求，停车场需相对独立、相对封闭的场地，不能占用市政道路，影响公共交通。建议贵团队督促各参观点提前规划和协调停车场地，并派专人看护；配偶团乘用车辆建议尽可能使用大巴。</w:t>
            </w:r>
          </w:p>
        </w:tc>
        <w:tc>
          <w:tcPr>
            <w:tcW w:w="12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部分采纳</w:t>
            </w:r>
          </w:p>
        </w:tc>
        <w:tc>
          <w:tcPr>
            <w:tcW w:w="40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不采纳使用大巴的原因为：市交委已经确定配偶使用车辆招标如下：</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12月6日（四季酒店午宴及古城游），共5大巴（含备用车）；</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12月7日、8日，共18辆中巴（含备用车）。</w:t>
            </w:r>
          </w:p>
        </w:tc>
      </w:tr>
      <w:tr>
        <w:tblPrEx>
          <w:tblLayout w:type="fixed"/>
          <w:tblCellMar>
            <w:top w:w="0" w:type="dxa"/>
            <w:left w:w="0" w:type="dxa"/>
            <w:bottom w:w="0" w:type="dxa"/>
            <w:right w:w="0" w:type="dxa"/>
          </w:tblCellMar>
        </w:tblPrEx>
        <w:trPr>
          <w:trHeight w:val="2965" w:hRule="atLeast"/>
        </w:trPr>
        <w:tc>
          <w:tcPr>
            <w:tcW w:w="180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outlineLvl w:val="9"/>
              <w:rPr>
                <w:rFonts w:hint="eastAsia" w:ascii="仿宋_GB2312" w:hAnsi="仿宋_GB2312" w:eastAsia="仿宋_GB2312" w:cs="仿宋_GB2312"/>
                <w:i w:val="0"/>
                <w:color w:val="auto"/>
                <w:sz w:val="24"/>
                <w:szCs w:val="24"/>
                <w:u w:val="none"/>
              </w:rPr>
            </w:pPr>
          </w:p>
        </w:tc>
        <w:tc>
          <w:tcPr>
            <w:tcW w:w="30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w:t>
            </w:r>
          </w:p>
        </w:tc>
        <w:tc>
          <w:tcPr>
            <w:tcW w:w="45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根据与《财富》方对接确认事项，配偶团活动不验证。为做好人员身份识别工作，各参观点工作人员、接待人员信息应提前报公安机关进行身份核查，工作期间应佩戴本单位工作证件或者专门的识别标志。</w:t>
            </w:r>
          </w:p>
        </w:tc>
        <w:tc>
          <w:tcPr>
            <w:tcW w:w="12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采纳</w:t>
            </w:r>
          </w:p>
        </w:tc>
        <w:tc>
          <w:tcPr>
            <w:tcW w:w="40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w:t>
            </w:r>
          </w:p>
        </w:tc>
      </w:tr>
      <w:tr>
        <w:tblPrEx>
          <w:tblLayout w:type="fixed"/>
          <w:tblCellMar>
            <w:top w:w="0" w:type="dxa"/>
            <w:left w:w="0" w:type="dxa"/>
            <w:bottom w:w="0" w:type="dxa"/>
            <w:right w:w="0" w:type="dxa"/>
          </w:tblCellMar>
        </w:tblPrEx>
        <w:trPr>
          <w:trHeight w:val="1935" w:hRule="atLeast"/>
        </w:trPr>
        <w:tc>
          <w:tcPr>
            <w:tcW w:w="180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outlineLvl w:val="9"/>
              <w:rPr>
                <w:rFonts w:hint="eastAsia" w:ascii="仿宋_GB2312" w:hAnsi="仿宋_GB2312" w:eastAsia="仿宋_GB2312" w:cs="仿宋_GB2312"/>
                <w:i w:val="0"/>
                <w:color w:val="auto"/>
                <w:sz w:val="24"/>
                <w:szCs w:val="24"/>
                <w:u w:val="none"/>
              </w:rPr>
            </w:pPr>
          </w:p>
        </w:tc>
        <w:tc>
          <w:tcPr>
            <w:tcW w:w="30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w:t>
            </w:r>
          </w:p>
        </w:tc>
        <w:tc>
          <w:tcPr>
            <w:tcW w:w="45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设在人流量较大的开放性场地表演项目，建议各场地单位在表演场地四周设置分隔设施，并安排足够数量的工作人员维护秩序。</w:t>
            </w:r>
          </w:p>
        </w:tc>
        <w:tc>
          <w:tcPr>
            <w:tcW w:w="12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采纳</w:t>
            </w:r>
          </w:p>
        </w:tc>
        <w:tc>
          <w:tcPr>
            <w:tcW w:w="40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w:t>
            </w:r>
          </w:p>
        </w:tc>
      </w:tr>
      <w:tr>
        <w:tblPrEx>
          <w:tblLayout w:type="fixed"/>
          <w:tblCellMar>
            <w:top w:w="0" w:type="dxa"/>
            <w:left w:w="0" w:type="dxa"/>
            <w:bottom w:w="0" w:type="dxa"/>
            <w:right w:w="0" w:type="dxa"/>
          </w:tblCellMar>
        </w:tblPrEx>
        <w:trPr>
          <w:trHeight w:val="2637" w:hRule="atLeast"/>
        </w:trPr>
        <w:tc>
          <w:tcPr>
            <w:tcW w:w="180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环境提升团队</w:t>
            </w:r>
          </w:p>
        </w:tc>
        <w:tc>
          <w:tcPr>
            <w:tcW w:w="30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把白云山翠竹园门口已关闭的职业病防治医院建筑物上的名字及宣传牌拆掉，整治周边环境</w:t>
            </w:r>
          </w:p>
        </w:tc>
        <w:tc>
          <w:tcPr>
            <w:tcW w:w="45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“把白云山翠竹园门口已关闭的职业病防治医院建筑物上的名字及宣传牌拆掉，整治周边环境”。该项工作属户外招牌整治，建议由城市管理团队统筹，白云区政府具体实施。</w:t>
            </w:r>
          </w:p>
        </w:tc>
        <w:tc>
          <w:tcPr>
            <w:tcW w:w="12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采纳</w:t>
            </w:r>
          </w:p>
        </w:tc>
        <w:tc>
          <w:tcPr>
            <w:tcW w:w="40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w:t>
            </w:r>
          </w:p>
        </w:tc>
      </w:tr>
      <w:tr>
        <w:tblPrEx>
          <w:tblLayout w:type="fixed"/>
          <w:tblCellMar>
            <w:top w:w="0" w:type="dxa"/>
            <w:left w:w="0" w:type="dxa"/>
            <w:bottom w:w="0" w:type="dxa"/>
            <w:right w:w="0" w:type="dxa"/>
          </w:tblCellMar>
        </w:tblPrEx>
        <w:trPr>
          <w:trHeight w:val="2895" w:hRule="atLeast"/>
        </w:trPr>
        <w:tc>
          <w:tcPr>
            <w:tcW w:w="180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outlineLvl w:val="9"/>
              <w:rPr>
                <w:rFonts w:hint="eastAsia" w:ascii="仿宋_GB2312" w:hAnsi="仿宋_GB2312" w:eastAsia="仿宋_GB2312" w:cs="仿宋_GB2312"/>
                <w:i w:val="0"/>
                <w:color w:val="auto"/>
                <w:sz w:val="24"/>
                <w:szCs w:val="24"/>
                <w:u w:val="none"/>
              </w:rPr>
            </w:pPr>
          </w:p>
        </w:tc>
        <w:tc>
          <w:tcPr>
            <w:tcW w:w="30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整修白云山黄婆洞水库转角处观景区的植物，留缺口让宾客观景</w:t>
            </w:r>
          </w:p>
        </w:tc>
        <w:tc>
          <w:tcPr>
            <w:tcW w:w="45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“修缮黄婆洞水库转角处观景区的植物，留缺让宾客观景”。该项工作主要涉及与属地区村民协调事项，建议由白云区政府统筹协调，白云山管理局具体实施。</w:t>
            </w:r>
          </w:p>
        </w:tc>
        <w:tc>
          <w:tcPr>
            <w:tcW w:w="12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采纳</w:t>
            </w:r>
          </w:p>
        </w:tc>
        <w:tc>
          <w:tcPr>
            <w:tcW w:w="40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w:t>
            </w:r>
          </w:p>
        </w:tc>
      </w:tr>
      <w:tr>
        <w:tblPrEx>
          <w:tblLayout w:type="fixed"/>
          <w:tblCellMar>
            <w:top w:w="0" w:type="dxa"/>
            <w:left w:w="0" w:type="dxa"/>
            <w:bottom w:w="0" w:type="dxa"/>
            <w:right w:w="0" w:type="dxa"/>
          </w:tblCellMar>
        </w:tblPrEx>
        <w:trPr>
          <w:trHeight w:val="3660" w:hRule="atLeast"/>
        </w:trPr>
        <w:tc>
          <w:tcPr>
            <w:tcW w:w="180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outlineLvl w:val="9"/>
              <w:rPr>
                <w:rFonts w:hint="eastAsia" w:ascii="仿宋_GB2312" w:hAnsi="仿宋_GB2312" w:eastAsia="仿宋_GB2312" w:cs="仿宋_GB2312"/>
                <w:i w:val="0"/>
                <w:color w:val="auto"/>
                <w:sz w:val="24"/>
                <w:szCs w:val="24"/>
                <w:u w:val="none"/>
              </w:rPr>
            </w:pPr>
          </w:p>
        </w:tc>
        <w:tc>
          <w:tcPr>
            <w:tcW w:w="30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从香格里拉酒店往返神农草堂沿途（重点为华南快速路沙太路出口至神农草堂段）及周边环境整治</w:t>
            </w:r>
          </w:p>
        </w:tc>
        <w:tc>
          <w:tcPr>
            <w:tcW w:w="45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从香格里拉酒店往返神农草堂沿途及神农草堂附近的景观及环境整治”。建议神农草堂园区内部环境整治工作由神农草堂负责实施，沿途（重点为华南快速路沙太路出口至神农草堂段）及周边环境由白云区政府负责实施。</w:t>
            </w:r>
          </w:p>
        </w:tc>
        <w:tc>
          <w:tcPr>
            <w:tcW w:w="12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采纳</w:t>
            </w:r>
          </w:p>
        </w:tc>
        <w:tc>
          <w:tcPr>
            <w:tcW w:w="40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w:t>
            </w:r>
          </w:p>
        </w:tc>
      </w:tr>
      <w:tr>
        <w:tblPrEx>
          <w:tblLayout w:type="fixed"/>
          <w:tblCellMar>
            <w:top w:w="0" w:type="dxa"/>
            <w:left w:w="0" w:type="dxa"/>
            <w:bottom w:w="0" w:type="dxa"/>
            <w:right w:w="0" w:type="dxa"/>
          </w:tblCellMar>
        </w:tblPrEx>
        <w:trPr>
          <w:trHeight w:val="2880" w:hRule="atLeast"/>
        </w:trPr>
        <w:tc>
          <w:tcPr>
            <w:tcW w:w="18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城市管理团队</w:t>
            </w:r>
          </w:p>
        </w:tc>
        <w:tc>
          <w:tcPr>
            <w:tcW w:w="30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把白云山翠竹园门口已关闭的职业病防治医院建筑物上的名字及宣传牌拆掉，整治周边环境</w:t>
            </w:r>
          </w:p>
        </w:tc>
        <w:tc>
          <w:tcPr>
            <w:tcW w:w="45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建议把白云山翠竹园门口已关闭的职业病防治医院建筑物上的名字及宣传牌拆掉，整治周边环境”改为：城市管理团队将督促属地执法部门加强白云山周边违法户外广告和招牌的巡查整治。</w:t>
            </w:r>
          </w:p>
        </w:tc>
        <w:tc>
          <w:tcPr>
            <w:tcW w:w="12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采纳</w:t>
            </w:r>
          </w:p>
        </w:tc>
        <w:tc>
          <w:tcPr>
            <w:tcW w:w="40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10006FF" w:usb1="4000205B" w:usb2="00000010" w:usb3="00000000" w:csb0="2000019F" w:csb1="00000000"/>
  </w:font>
  <w:font w:name="华文仿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BE561B"/>
    <w:rsid w:val="197F639F"/>
    <w:rsid w:val="7CBE561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2017-08-18T01:43:00Z</dcterms:created>
  <dc:creator>familytree</dc:creator>
  <cp:lastModifiedBy>familytree</cp:lastModifiedBy>
  <dcterms:modified xsi:type="dcterms:W3CDTF">2017-08-18T01:45:39Z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