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1273" w:rightChars="398" w:firstLine="0" w:firstLineChars="0"/>
        <w:jc w:val="both"/>
        <w:textAlignment w:val="auto"/>
        <w:outlineLvl w:val="9"/>
        <w:rPr>
          <w:rFonts w:hint="eastAsia" w:ascii="黑体" w:hAnsi="黑体" w:eastAsia="黑体" w:cs="黑体"/>
          <w:lang w:eastAsia="zh-CN"/>
        </w:rPr>
      </w:pPr>
      <w:r>
        <w:rPr>
          <w:rFonts w:hint="eastAsia" w:ascii="黑体" w:hAnsi="黑体" w:eastAsia="黑体" w:cs="黑体"/>
          <w:lang w:eastAsia="zh-CN"/>
        </w:rPr>
        <w:t>附件</w:t>
      </w:r>
    </w:p>
    <w:tbl>
      <w:tblPr>
        <w:tblStyle w:val="4"/>
        <w:tblW w:w="14483" w:type="dxa"/>
        <w:tblInd w:w="0" w:type="dxa"/>
        <w:tblLayout w:type="fixed"/>
        <w:tblCellMar>
          <w:top w:w="0" w:type="dxa"/>
          <w:left w:w="0" w:type="dxa"/>
          <w:bottom w:w="0" w:type="dxa"/>
          <w:right w:w="0" w:type="dxa"/>
        </w:tblCellMar>
      </w:tblPr>
      <w:tblGrid>
        <w:gridCol w:w="653"/>
        <w:gridCol w:w="1067"/>
        <w:gridCol w:w="2413"/>
        <w:gridCol w:w="1125"/>
        <w:gridCol w:w="2160"/>
        <w:gridCol w:w="4140"/>
        <w:gridCol w:w="1290"/>
        <w:gridCol w:w="1575"/>
        <w:gridCol w:w="60"/>
      </w:tblGrid>
      <w:tr>
        <w:tblPrEx>
          <w:tblLayout w:type="fixed"/>
          <w:tblCellMar>
            <w:top w:w="0" w:type="dxa"/>
            <w:left w:w="0" w:type="dxa"/>
            <w:bottom w:w="0" w:type="dxa"/>
            <w:right w:w="0" w:type="dxa"/>
          </w:tblCellMar>
        </w:tblPrEx>
        <w:trPr>
          <w:trHeight w:val="90" w:hRule="atLeast"/>
        </w:trPr>
        <w:tc>
          <w:tcPr>
            <w:tcW w:w="14483" w:type="dxa"/>
            <w:gridSpan w:val="9"/>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ind w:left="0" w:leftChars="0" w:right="0" w:rightChars="0" w:firstLine="0" w:firstLineChars="0"/>
              <w:jc w:val="center"/>
              <w:textAlignment w:val="center"/>
              <w:outlineLvl w:val="9"/>
              <w:rPr>
                <w:rFonts w:ascii="方正小标宋简体" w:hAnsi="方正小标宋简体" w:eastAsia="方正小标宋简体" w:cs="方正小标宋简体"/>
                <w:i w:val="0"/>
                <w:color w:val="auto"/>
                <w:sz w:val="40"/>
                <w:szCs w:val="40"/>
                <w:u w:val="none"/>
              </w:rPr>
            </w:pPr>
            <w:bookmarkStart w:id="0" w:name="_GoBack"/>
            <w:r>
              <w:rPr>
                <w:rFonts w:hint="eastAsia" w:ascii="方正小标宋简体" w:hAnsi="方正小标宋简体" w:eastAsia="方正小标宋简体" w:cs="方正小标宋简体"/>
                <w:i w:val="0"/>
                <w:color w:val="auto"/>
                <w:kern w:val="0"/>
                <w:sz w:val="44"/>
                <w:szCs w:val="44"/>
                <w:u w:val="none"/>
                <w:lang w:val="en-US" w:eastAsia="zh-CN" w:bidi="ar"/>
              </w:rPr>
              <w:t>黎明副市长分管重点工作督办表（2016年第3期）(广州市旅游局）</w:t>
            </w:r>
            <w:bookmarkEnd w:id="0"/>
          </w:p>
        </w:tc>
      </w:tr>
      <w:tr>
        <w:tblPrEx>
          <w:tblLayout w:type="fixed"/>
          <w:tblCellMar>
            <w:top w:w="0" w:type="dxa"/>
            <w:left w:w="0" w:type="dxa"/>
            <w:bottom w:w="0" w:type="dxa"/>
            <w:right w:w="0" w:type="dxa"/>
          </w:tblCellMar>
        </w:tblPrEx>
        <w:trPr>
          <w:trHeight w:val="675" w:hRule="atLeast"/>
        </w:trPr>
        <w:tc>
          <w:tcPr>
            <w:tcW w:w="14483" w:type="dxa"/>
            <w:gridSpan w:val="9"/>
            <w:tcBorders>
              <w:top w:val="nil"/>
              <w:left w:val="nil"/>
              <w:bottom w:val="single" w:color="auto" w:sz="4" w:space="0"/>
              <w:right w:val="nil"/>
            </w:tcBorders>
            <w:tcMar>
              <w:top w:w="15" w:type="dxa"/>
              <w:left w:w="15" w:type="dxa"/>
              <w:right w:w="15" w:type="dxa"/>
            </w:tcMar>
            <w:vAlign w:val="center"/>
          </w:tcPr>
          <w:p>
            <w:pPr>
              <w:keepNext w:val="0"/>
              <w:keepLines w:val="0"/>
              <w:widowControl/>
              <w:suppressLineNumbers w:val="0"/>
              <w:ind w:right="51" w:rightChars="16"/>
              <w:jc w:val="both"/>
              <w:textAlignment w:val="center"/>
              <w:rPr>
                <w:rFonts w:hint="eastAsia" w:ascii="方正小标宋简体" w:hAnsi="方正小标宋简体" w:eastAsia="方正小标宋简体" w:cs="方正小标宋简体"/>
                <w:i w:val="0"/>
                <w:color w:val="auto"/>
                <w:sz w:val="24"/>
                <w:szCs w:val="24"/>
                <w:u w:val="none"/>
              </w:rPr>
            </w:pPr>
            <w:r>
              <w:rPr>
                <w:rFonts w:hint="eastAsia" w:ascii="方正小标宋简体" w:hAnsi="方正小标宋简体" w:eastAsia="方正小标宋简体" w:cs="方正小标宋简体"/>
                <w:i w:val="0"/>
                <w:color w:val="auto"/>
                <w:kern w:val="0"/>
                <w:sz w:val="24"/>
                <w:szCs w:val="24"/>
                <w:u w:val="none"/>
                <w:lang w:val="en-US" w:eastAsia="zh-CN" w:bidi="ar"/>
              </w:rPr>
              <w:t>填报单位：广州市旅游局                  填报人：苏斌             电话： 81078265          填报日期：2016 年12月27日</w:t>
            </w:r>
          </w:p>
        </w:tc>
      </w:tr>
      <w:tr>
        <w:tblPrEx>
          <w:tblLayout w:type="fixed"/>
          <w:tblCellMar>
            <w:top w:w="0" w:type="dxa"/>
            <w:left w:w="0" w:type="dxa"/>
            <w:bottom w:w="0" w:type="dxa"/>
            <w:right w:w="0" w:type="dxa"/>
          </w:tblCellMar>
        </w:tblPrEx>
        <w:trPr>
          <w:gridAfter w:val="1"/>
          <w:wAfter w:w="60" w:type="dxa"/>
          <w:trHeight w:val="705" w:hRule="atLeast"/>
        </w:trPr>
        <w:tc>
          <w:tcPr>
            <w:tcW w:w="6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106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p>
        </w:tc>
        <w:tc>
          <w:tcPr>
            <w:tcW w:w="241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工作任务</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任务来源</w:t>
            </w: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上期报送进展情况（2016年10月）</w:t>
            </w:r>
          </w:p>
        </w:tc>
        <w:tc>
          <w:tcPr>
            <w:tcW w:w="41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本期进展情况</w:t>
            </w:r>
          </w:p>
        </w:tc>
        <w:tc>
          <w:tcPr>
            <w:tcW w:w="129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4" w:leftChars="0" w:right="0" w:rightChars="0" w:hanging="14" w:hangingChars="6"/>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存在问题</w:t>
            </w:r>
          </w:p>
        </w:tc>
        <w:tc>
          <w:tcPr>
            <w:tcW w:w="157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下一步计划</w:t>
            </w:r>
          </w:p>
        </w:tc>
      </w:tr>
      <w:tr>
        <w:tblPrEx>
          <w:tblLayout w:type="fixed"/>
          <w:tblCellMar>
            <w:top w:w="0" w:type="dxa"/>
            <w:left w:w="0" w:type="dxa"/>
            <w:bottom w:w="0" w:type="dxa"/>
            <w:right w:w="0" w:type="dxa"/>
          </w:tblCellMar>
        </w:tblPrEx>
        <w:trPr>
          <w:gridAfter w:val="1"/>
          <w:wAfter w:w="60" w:type="dxa"/>
          <w:trHeight w:val="5385" w:hRule="atLeast"/>
        </w:trPr>
        <w:tc>
          <w:tcPr>
            <w:tcW w:w="6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06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市协作办、发展改革委、工业和信息化委、科技创新委、商务委、国资委、旅游局、广州港务局</w:t>
            </w:r>
          </w:p>
        </w:tc>
        <w:tc>
          <w:tcPr>
            <w:tcW w:w="241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加强与高铁沿线城市的交流合作。1.组织各区赴上海、长沙、武汉等地开展经贸交流、招商宣传推介等活动，积极做好各地来穗交流考察服务工作。2.筹建广州异地商会联合会，搭建与高铁沿线城市合作交流重点平台。3. 邀请国内外各地友好合作城市参加第24届广州博览会。4.持续拓展内陆市场及货源，加快建设内陆无水港或办事处。5.开展区域旅游合作，搭建共同宣传促销平台，赴高铁沿线城市举办旅游推介活动和协助高铁沿线城市来穗推介，在高铁沿线城市积极投放广州旅游宣传广告。</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41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90" w:leftChars="0" w:right="0" w:rightChars="0" w:hanging="90" w:hangingChars="5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1.做好粤桂黔高铁经济带相关工作。根据市协作办的统筹安排，我局参加了相关粤桂黔高铁经济带合作相关工作和会议，包括10月参加在柳州举办的第二届粤桂黔高铁经济带合作联席会议暨广西园建设工作现场会；12月参加在佛山举办的2016年粤桂黔高铁经济带促进民间投资大会等，并做专场旅游推介和展示。协调和对接佛山市南海区文化体育局，协商粤桂黔高铁经济带旅游产业联盟事宜。                                        2.我局联合相关区域合作城市赴高铁沿线城市开展旅游推介工作。如广清韶高铁旅游联盟赴南昌、吉安，广深珠旅游联盟赴青岛、大连，广佛肇清云韶联盟赴长沙、武汉，广中江旅游联盟赴兰州、西安，广佛肇旅游联盟赴温州、扬州等高铁沿线城市举办旅游推介活动；我局还专门赴北京、天津等地重点宣传推介广州春节旅游产品及线路。                                         3.协助并参加高铁沿线城市来穗举办推介会。先后协助并参加唐山、鄂尔多斯、洛阳和延安市等市来穗举办的旅游推介活动。                              </w:t>
            </w:r>
          </w:p>
        </w:tc>
        <w:tc>
          <w:tcPr>
            <w:tcW w:w="129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57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134" w:rightChars="42"/>
              <w:jc w:val="both"/>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加强与各高铁沿线城市的旅游合作，联合举办旅游推介活动，并互相支持对方举办的推介活动。实现旅游资源共享，优势互补，客源互送，互利共赢。</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TheSansDM">
    <w:altName w:val="Arial"/>
    <w:panose1 w:val="020B0502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B620B"/>
    <w:rsid w:val="18DB620B"/>
    <w:rsid w:val="4F3F6A60"/>
    <w:rsid w:val="55FE68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2017-01-05T01:41:00Z</dcterms:created>
  <dc:creator>familytree</dc:creator>
  <cp:lastModifiedBy>familytree</cp:lastModifiedBy>
  <dcterms:modified xsi:type="dcterms:W3CDTF">2017-01-05T01:47:54Z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