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02" w:rightChars="96"/>
        <w:jc w:val="right"/>
        <w:outlineLvl w:val="9"/>
        <w:rPr>
          <w:rFonts w:ascii="楷体_GB2312" w:hAnsi="宋体" w:eastAsia="楷体_GB2312"/>
          <w:b/>
          <w:color w:val="auto"/>
          <w:sz w:val="28"/>
          <w:szCs w:val="28"/>
        </w:rPr>
      </w:pPr>
      <w:bookmarkStart w:id="0" w:name="_Toc13130"/>
      <w:bookmarkStart w:id="1" w:name="_Toc3490"/>
      <w:bookmarkStart w:id="2" w:name="_Toc14205"/>
      <w:bookmarkStart w:id="3" w:name="_Toc13007"/>
      <w:bookmarkStart w:id="4" w:name="_Toc24093"/>
      <w:bookmarkStart w:id="5" w:name="_Toc25952"/>
      <w:bookmarkStart w:id="6" w:name="_Toc29323"/>
      <w:bookmarkStart w:id="7" w:name="_Toc6019"/>
      <w:bookmarkStart w:id="8" w:name="_Toc25631"/>
      <w:bookmarkStart w:id="9" w:name="_Toc20572"/>
      <w:bookmarkStart w:id="10" w:name="_Toc5522"/>
      <w:bookmarkStart w:id="11" w:name="_Toc9789"/>
      <w:bookmarkStart w:id="12" w:name="_Toc9572"/>
      <w:bookmarkStart w:id="13" w:name="_Toc31364"/>
      <w:bookmarkStart w:id="14" w:name="_Toc21146"/>
      <w:bookmarkStart w:id="15" w:name="_Toc8046"/>
      <w:bookmarkStart w:id="16" w:name="_Toc6628"/>
      <w:bookmarkStart w:id="17" w:name="_Toc43371450"/>
      <w:bookmarkStart w:id="99" w:name="_GoBack"/>
      <w:bookmarkEnd w:id="99"/>
      <w:r>
        <w:rPr>
          <w:rFonts w:hint="eastAsia" w:ascii="楷体_GB2312" w:hAnsi="Times New Roman" w:eastAsia="楷体_GB2312" w:cs="楷体_GB2312"/>
          <w:b/>
          <w:color w:val="auto"/>
          <w:sz w:val="28"/>
          <w:szCs w:val="20"/>
        </w:rPr>
        <w:t>田野</w:t>
      </w:r>
      <w:r>
        <w:rPr>
          <w:rFonts w:hint="eastAsia" w:ascii="楷体_GB2312" w:hAnsi="宋体" w:eastAsia="楷体_GB2312"/>
          <w:b/>
          <w:color w:val="auto"/>
          <w:sz w:val="28"/>
          <w:szCs w:val="28"/>
        </w:rPr>
        <w:t>档案编号：GZKG-202</w:t>
      </w:r>
      <w:r>
        <w:rPr>
          <w:rFonts w:hint="eastAsia" w:ascii="楷体_GB2312" w:hAnsi="宋体" w:eastAsia="楷体_GB2312"/>
          <w:b/>
          <w:color w:val="auto"/>
          <w:sz w:val="28"/>
          <w:szCs w:val="28"/>
          <w:lang w:val="en-US" w:eastAsia="zh-CN"/>
        </w:rPr>
        <w:t>4</w:t>
      </w:r>
      <w:r>
        <w:rPr>
          <w:rFonts w:hint="eastAsia" w:ascii="楷体_GB2312" w:hAnsi="宋体" w:eastAsia="楷体_GB2312"/>
          <w:b/>
          <w:color w:val="auto"/>
          <w:sz w:val="28"/>
          <w:szCs w:val="28"/>
        </w:rPr>
        <w:t>-</w:t>
      </w:r>
      <w:r>
        <w:rPr>
          <w:rFonts w:hint="eastAsia" w:ascii="楷体_GB2312" w:hAnsi="宋体" w:eastAsia="楷体_GB2312"/>
          <w:b/>
          <w:color w:val="auto"/>
          <w:sz w:val="28"/>
          <w:szCs w:val="28"/>
          <w:lang w:val="en-US" w:eastAsia="zh-CN"/>
        </w:rPr>
        <w:t>030</w:t>
      </w:r>
      <w:r>
        <w:rPr>
          <w:rFonts w:hint="eastAsia" w:ascii="楷体_GB2312" w:hAnsi="宋体" w:eastAsia="楷体_GB2312"/>
          <w:b/>
          <w:color w:val="auto"/>
          <w:sz w:val="28"/>
          <w:szCs w:val="28"/>
        </w:rPr>
        <w:t>(DC)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spacing w:line="480" w:lineRule="auto"/>
        <w:rPr>
          <w:rFonts w:ascii="黑体" w:hAnsi="宋体" w:eastAsia="黑体"/>
          <w:b/>
          <w:sz w:val="72"/>
          <w:szCs w:val="72"/>
          <w:u w:val="single"/>
        </w:rPr>
      </w:pPr>
    </w:p>
    <w:p>
      <w:pPr>
        <w:spacing w:line="480" w:lineRule="auto"/>
        <w:rPr>
          <w:rFonts w:ascii="黑体" w:hAnsi="宋体" w:eastAsia="黑体"/>
          <w:b/>
          <w:sz w:val="72"/>
          <w:szCs w:val="72"/>
          <w:u w:val="single"/>
        </w:rPr>
      </w:pPr>
    </w:p>
    <w:p>
      <w:pPr>
        <w:rPr>
          <w:rFonts w:ascii="楷体" w:hAnsi="楷体" w:eastAsia="楷体"/>
          <w:b/>
          <w:sz w:val="72"/>
          <w:szCs w:val="72"/>
        </w:rPr>
      </w:pPr>
    </w:p>
    <w:p>
      <w:pPr>
        <w:rPr>
          <w:rFonts w:ascii="楷体" w:hAnsi="楷体" w:eastAsia="楷体"/>
          <w:b/>
          <w:sz w:val="72"/>
          <w:szCs w:val="72"/>
        </w:rPr>
      </w:pPr>
    </w:p>
    <w:p>
      <w:pPr>
        <w:jc w:val="center"/>
        <w:rPr>
          <w:rFonts w:hint="eastAsia" w:ascii="楷体" w:eastAsia="楷体"/>
          <w:b/>
          <w:spacing w:val="-57"/>
          <w:w w:val="90"/>
          <w:sz w:val="72"/>
          <w:szCs w:val="72"/>
          <w:lang w:val="en-US" w:eastAsia="zh-CN"/>
        </w:rPr>
      </w:pPr>
      <w:r>
        <w:rPr>
          <w:rFonts w:hint="eastAsia" w:ascii="楷体" w:eastAsia="楷体"/>
          <w:b/>
          <w:spacing w:val="-57"/>
          <w:w w:val="90"/>
          <w:sz w:val="72"/>
          <w:szCs w:val="72"/>
          <w:lang w:val="en-US" w:eastAsia="zh-CN"/>
        </w:rPr>
        <w:t>增城区中新科技园区74.181亩地块</w:t>
      </w:r>
    </w:p>
    <w:p>
      <w:pPr>
        <w:jc w:val="center"/>
        <w:rPr>
          <w:rFonts w:ascii="黑体" w:hAnsi="黑体" w:eastAsia="黑体"/>
          <w:b/>
          <w:spacing w:val="-20"/>
          <w:sz w:val="84"/>
          <w:szCs w:val="84"/>
        </w:rPr>
      </w:pPr>
      <w:r>
        <w:rPr>
          <w:rFonts w:hint="eastAsia" w:ascii="黑体" w:hAnsi="黑体" w:eastAsia="黑体"/>
          <w:b/>
          <w:spacing w:val="-20"/>
          <w:sz w:val="84"/>
          <w:szCs w:val="84"/>
        </w:rPr>
        <w:t>考古调查工作报告</w:t>
      </w:r>
    </w:p>
    <w:p>
      <w:pPr>
        <w:jc w:val="center"/>
        <w:rPr>
          <w:rFonts w:ascii="黑体" w:hAnsi="黑体" w:eastAsia="黑体"/>
          <w:b/>
          <w:spacing w:val="-20"/>
          <w:sz w:val="72"/>
          <w:szCs w:val="72"/>
        </w:rPr>
      </w:pPr>
    </w:p>
    <w:p>
      <w:pPr>
        <w:rPr>
          <w:rFonts w:ascii="楷体" w:hAnsi="楷体" w:eastAsia="楷体"/>
          <w:b/>
          <w:sz w:val="72"/>
          <w:szCs w:val="7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pPr>
        <w:widowControl/>
        <w:spacing w:line="500" w:lineRule="exact"/>
        <w:jc w:val="center"/>
        <w:rPr>
          <w:rFonts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宋体" w:eastAsia="华文隶书"/>
          <w:bCs/>
          <w:sz w:val="32"/>
          <w:szCs w:val="32"/>
        </w:rPr>
        <w:t>二</w:t>
      </w:r>
      <w:r>
        <w:rPr>
          <w:rFonts w:hint="eastAsia" w:ascii="华文隶书" w:hAnsi="宋体" w:eastAsia="华文隶书"/>
          <w:bCs/>
          <w:sz w:val="32"/>
          <w:szCs w:val="32"/>
          <w:lang w:val="en-US" w:eastAsia="zh-CN"/>
        </w:rPr>
        <w:t>四</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四</w:t>
      </w:r>
      <w:r>
        <w:rPr>
          <w:rFonts w:hint="eastAsia" w:ascii="华文隶书" w:hAnsi="宋体" w:eastAsia="华文隶书"/>
          <w:bCs/>
          <w:sz w:val="32"/>
          <w:szCs w:val="32"/>
        </w:rPr>
        <w:t>月</w:t>
      </w:r>
    </w:p>
    <w:p>
      <w:pPr>
        <w:widowControl/>
        <w:spacing w:line="500" w:lineRule="exact"/>
        <w:jc w:val="center"/>
        <w:rPr>
          <w:rFonts w:ascii="华文隶书" w:hAnsi="宋体" w:eastAsia="华文隶书"/>
          <w:bCs/>
          <w:sz w:val="32"/>
          <w:szCs w:val="32"/>
        </w:rPr>
      </w:pPr>
    </w:p>
    <w:p>
      <w:pPr>
        <w:rPr>
          <w:rFonts w:ascii="仿宋" w:hAnsi="仿宋" w:eastAsia="仿宋" w:cs="仿宋"/>
          <w:b/>
          <w:bCs/>
          <w:sz w:val="30"/>
          <w:szCs w:val="30"/>
        </w:rPr>
      </w:pPr>
      <w:r>
        <w:rPr>
          <w:rFonts w:hint="eastAsia" w:ascii="仿宋" w:hAnsi="仿宋" w:eastAsia="仿宋" w:cs="仿宋"/>
          <w:b/>
          <w:bCs/>
          <w:sz w:val="30"/>
          <w:szCs w:val="30"/>
        </w:rPr>
        <w:br w:type="page"/>
      </w:r>
    </w:p>
    <w:p>
      <w:pPr>
        <w:keepNext w:val="0"/>
        <w:keepLines w:val="0"/>
        <w:pageBreakBefore w:val="0"/>
        <w:kinsoku/>
        <w:wordWrap/>
        <w:overflowPunct/>
        <w:topLinePunct w:val="0"/>
        <w:autoSpaceDE/>
        <w:autoSpaceDN/>
        <w:bidi w:val="0"/>
        <w:adjustRightInd/>
        <w:spacing w:line="420" w:lineRule="exact"/>
        <w:jc w:val="both"/>
        <w:textAlignment w:val="auto"/>
        <w:rPr>
          <w:rFonts w:hint="default" w:ascii="仿宋" w:hAnsi="仿宋" w:eastAsia="仿宋" w:cs="仿宋"/>
          <w:color w:val="auto"/>
          <w:spacing w:val="-23"/>
          <w:sz w:val="30"/>
          <w:szCs w:val="30"/>
          <w:lang w:val="en-US" w:eastAsia="zh-CN"/>
        </w:rPr>
      </w:pPr>
      <w:r>
        <w:rPr>
          <w:rFonts w:hint="eastAsia" w:ascii="仿宋" w:hAnsi="仿宋" w:eastAsia="仿宋" w:cs="仿宋"/>
          <w:b/>
          <w:bCs/>
          <w:color w:val="auto"/>
          <w:sz w:val="30"/>
          <w:szCs w:val="30"/>
        </w:rPr>
        <w:t>项目名称：</w:t>
      </w:r>
      <w:r>
        <w:rPr>
          <w:rFonts w:hint="eastAsia" w:ascii="仿宋" w:hAnsi="仿宋" w:eastAsia="仿宋" w:cs="仿宋"/>
          <w:color w:val="auto"/>
          <w:spacing w:val="0"/>
          <w:sz w:val="30"/>
          <w:szCs w:val="30"/>
          <w:lang w:val="en-US" w:eastAsia="zh-CN"/>
        </w:rPr>
        <w:t>增城区中新科技园区74.181亩地块</w:t>
      </w:r>
    </w:p>
    <w:p>
      <w:pPr>
        <w:keepNext w:val="0"/>
        <w:keepLines w:val="0"/>
        <w:pageBreakBefore w:val="0"/>
        <w:widowControl/>
        <w:kinsoku/>
        <w:wordWrap/>
        <w:overflowPunct/>
        <w:topLinePunct w:val="0"/>
        <w:autoSpaceDE/>
        <w:autoSpaceDN/>
        <w:bidi w:val="0"/>
        <w:adjustRightInd/>
        <w:snapToGrid/>
        <w:spacing w:line="420" w:lineRule="exact"/>
        <w:ind w:left="0"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项目地点：</w:t>
      </w:r>
      <w:r>
        <w:rPr>
          <w:rFonts w:hint="eastAsia" w:ascii="仿宋" w:hAnsi="仿宋" w:eastAsia="仿宋" w:cs="仿宋"/>
          <w:color w:val="auto"/>
          <w:spacing w:val="-6"/>
          <w:sz w:val="30"/>
          <w:szCs w:val="30"/>
          <w:lang w:val="en-US" w:eastAsia="zh-CN"/>
        </w:rPr>
        <w:t>广州市增城区中新镇</w:t>
      </w:r>
    </w:p>
    <w:p>
      <w:pPr>
        <w:keepNext w:val="0"/>
        <w:keepLines w:val="0"/>
        <w:pageBreakBefore w:val="0"/>
        <w:widowControl/>
        <w:kinsoku/>
        <w:wordWrap/>
        <w:overflowPunct/>
        <w:topLinePunct w:val="0"/>
        <w:autoSpaceDE/>
        <w:autoSpaceDN/>
        <w:bidi w:val="0"/>
        <w:adjustRightInd/>
        <w:snapToGrid/>
        <w:spacing w:line="420" w:lineRule="exact"/>
        <w:ind w:left="1506"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lang w:val="en-US" w:eastAsia="zh-CN"/>
        </w:rPr>
        <w:t>收储</w:t>
      </w:r>
      <w:r>
        <w:rPr>
          <w:rFonts w:hint="eastAsia" w:ascii="仿宋" w:hAnsi="仿宋" w:eastAsia="仿宋" w:cs="仿宋"/>
          <w:b/>
          <w:bCs/>
          <w:color w:val="auto"/>
          <w:sz w:val="30"/>
          <w:szCs w:val="30"/>
        </w:rPr>
        <w:t>单位：</w:t>
      </w:r>
      <w:r>
        <w:rPr>
          <w:rFonts w:hint="eastAsia" w:ascii="仿宋" w:hAnsi="仿宋" w:eastAsia="仿宋" w:cs="仿宋"/>
          <w:color w:val="auto"/>
          <w:spacing w:val="-6"/>
          <w:kern w:val="2"/>
          <w:sz w:val="30"/>
          <w:szCs w:val="30"/>
          <w:lang w:val="en-US" w:eastAsia="zh-CN" w:bidi="ar-SA"/>
        </w:rPr>
        <w:t>广州市增城区土地开发储备中心</w:t>
      </w:r>
    </w:p>
    <w:p>
      <w:pPr>
        <w:keepNext w:val="0"/>
        <w:keepLines w:val="0"/>
        <w:pageBreakBefore w:val="0"/>
        <w:widowControl/>
        <w:kinsoku/>
        <w:wordWrap/>
        <w:overflowPunct/>
        <w:topLinePunct w:val="0"/>
        <w:autoSpaceDE/>
        <w:autoSpaceDN/>
        <w:bidi w:val="0"/>
        <w:adjustRightInd/>
        <w:snapToGrid/>
        <w:spacing w:line="420" w:lineRule="exact"/>
        <w:ind w:left="1506"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项目领队：</w:t>
      </w:r>
      <w:r>
        <w:rPr>
          <w:rFonts w:hint="eastAsia" w:ascii="仿宋" w:hAnsi="仿宋" w:eastAsia="仿宋" w:cs="仿宋"/>
          <w:color w:val="auto"/>
          <w:spacing w:val="-6"/>
          <w:sz w:val="30"/>
          <w:szCs w:val="30"/>
          <w:lang w:val="en-US" w:eastAsia="zh-CN"/>
        </w:rPr>
        <w:t>张百祥</w:t>
      </w:r>
    </w:p>
    <w:p>
      <w:pPr>
        <w:pStyle w:val="2"/>
        <w:keepNext w:val="0"/>
        <w:keepLines w:val="0"/>
        <w:pageBreakBefore w:val="0"/>
        <w:kinsoku/>
        <w:wordWrap/>
        <w:overflowPunct/>
        <w:topLinePunct w:val="0"/>
        <w:autoSpaceDE/>
        <w:autoSpaceDN/>
        <w:bidi w:val="0"/>
        <w:adjustRightInd/>
        <w:snapToGrid/>
        <w:spacing w:after="0" w:line="420" w:lineRule="exact"/>
        <w:ind w:left="1506" w:leftChars="0" w:hanging="1506" w:hangingChars="500"/>
        <w:textAlignment w:val="auto"/>
        <w:rPr>
          <w:rFonts w:hint="default" w:ascii="仿宋" w:hAnsi="仿宋" w:eastAsia="仿宋" w:cs="仿宋"/>
          <w:color w:val="auto"/>
          <w:spacing w:val="-23"/>
          <w:sz w:val="30"/>
          <w:szCs w:val="30"/>
          <w:lang w:val="en-US" w:eastAsia="zh-CN"/>
        </w:rPr>
      </w:pPr>
      <w:r>
        <w:rPr>
          <w:rFonts w:hint="eastAsia" w:ascii="仿宋" w:hAnsi="仿宋" w:eastAsia="仿宋" w:cs="仿宋"/>
          <w:b/>
          <w:bCs/>
          <w:color w:val="auto"/>
          <w:sz w:val="30"/>
          <w:szCs w:val="30"/>
        </w:rPr>
        <w:t>工作人员：</w:t>
      </w:r>
      <w:r>
        <w:rPr>
          <w:rFonts w:hint="eastAsia" w:ascii="仿宋" w:hAnsi="仿宋" w:eastAsia="仿宋" w:cs="仿宋"/>
          <w:color w:val="auto"/>
          <w:spacing w:val="-6"/>
          <w:kern w:val="2"/>
          <w:sz w:val="30"/>
          <w:szCs w:val="30"/>
          <w:lang w:val="en-US" w:eastAsia="zh-CN" w:bidi="ar-SA"/>
        </w:rPr>
        <w:t>黄浩、朱霖、杜宏洲、吴婷姗等</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default" w:ascii="仿宋" w:hAnsi="仿宋" w:eastAsia="仿宋" w:cs="仿宋"/>
          <w:color w:val="auto"/>
          <w:spacing w:val="-6"/>
          <w:kern w:val="2"/>
          <w:sz w:val="30"/>
          <w:szCs w:val="30"/>
          <w:lang w:val="en-US" w:eastAsia="zh-CN" w:bidi="ar-SA"/>
        </w:rPr>
      </w:pPr>
      <w:r>
        <w:rPr>
          <w:rFonts w:hint="eastAsia" w:ascii="仿宋" w:hAnsi="仿宋" w:eastAsia="仿宋" w:cs="仿宋"/>
          <w:b/>
          <w:bCs/>
          <w:color w:val="auto"/>
          <w:sz w:val="30"/>
          <w:szCs w:val="30"/>
        </w:rPr>
        <w:t>工作时间：</w:t>
      </w:r>
      <w:r>
        <w:rPr>
          <w:rFonts w:hint="eastAsia" w:ascii="仿宋" w:hAnsi="仿宋" w:eastAsia="仿宋" w:cs="仿宋"/>
          <w:color w:val="auto"/>
          <w:spacing w:val="-6"/>
          <w:kern w:val="2"/>
          <w:sz w:val="30"/>
          <w:szCs w:val="30"/>
          <w:lang w:val="en-US" w:eastAsia="zh-CN" w:bidi="ar-SA"/>
        </w:rPr>
        <w:t>2023年12月21</w:t>
      </w:r>
      <w:r>
        <w:rPr>
          <w:rFonts w:hint="eastAsia" w:ascii="仿宋" w:hAnsi="仿宋" w:eastAsia="仿宋" w:cs="仿宋"/>
          <w:color w:val="auto"/>
          <w:spacing w:val="-23"/>
          <w:kern w:val="2"/>
          <w:sz w:val="30"/>
          <w:szCs w:val="30"/>
          <w:lang w:val="en-US" w:eastAsia="zh-CN" w:bidi="ar-SA"/>
        </w:rPr>
        <w:t>日</w:t>
      </w:r>
      <w:r>
        <w:rPr>
          <w:rFonts w:hint="eastAsia" w:ascii="仿宋" w:hAnsi="仿宋" w:eastAsia="仿宋" w:cs="仿宋"/>
          <w:color w:val="auto"/>
          <w:spacing w:val="-6"/>
          <w:kern w:val="2"/>
          <w:sz w:val="30"/>
          <w:szCs w:val="30"/>
          <w:lang w:val="en-US" w:eastAsia="zh-CN" w:bidi="ar-SA"/>
        </w:rPr>
        <w:t>、2024年2月27日</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ascii="仿宋" w:hAnsi="仿宋" w:eastAsia="仿宋" w:cs="仿宋"/>
          <w:b/>
          <w:bCs/>
          <w:sz w:val="30"/>
          <w:szCs w:val="30"/>
        </w:rPr>
      </w:pPr>
      <w:r>
        <w:rPr>
          <w:rFonts w:hint="eastAsia" w:ascii="仿宋" w:hAnsi="仿宋" w:eastAsia="仿宋" w:cs="仿宋"/>
          <w:b/>
          <w:bCs/>
          <w:sz w:val="30"/>
          <w:szCs w:val="30"/>
        </w:rPr>
        <w:t>考古工作概况：</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根据《中华人民共和国文物保护法》《广州市文物保护规定》，按照《广州市文物局关于增城区2023年度第五批地块考古调查勘探工作的复函》（文物20231290号）指导意见，受广州市增城区土地开发储备中心委托，我院对该项目地块总用地面积约49454平方米进行了考古调查。</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经调查，增城区中新科技园区74.181亩地块位于广州市增城区中新镇，南邻恒创工业园，东距乌石南一路约一公里。地块整体地势平坦，均为平地</w:t>
      </w:r>
      <w:r>
        <w:rPr>
          <w:rFonts w:hint="eastAsia" w:ascii="宋体" w:hAnsi="宋体" w:eastAsia="宋体" w:cs="宋体"/>
          <w:sz w:val="24"/>
          <w:szCs w:val="24"/>
          <w:lang w:val="en-US" w:eastAsia="zh-CN"/>
        </w:rPr>
        <w:t>。除东南部外，其余区域现已填垫有较厚垫土。</w:t>
      </w:r>
      <w:r>
        <w:rPr>
          <w:rFonts w:hint="eastAsia" w:ascii="宋体" w:hAnsi="宋体" w:cs="宋体"/>
          <w:color w:val="auto"/>
          <w:kern w:val="2"/>
          <w:sz w:val="24"/>
          <w:szCs w:val="24"/>
          <w:lang w:val="en-US" w:eastAsia="zh-CN" w:bidi="ar-SA"/>
        </w:rPr>
        <w:t>地块</w:t>
      </w:r>
      <w:r>
        <w:rPr>
          <w:rFonts w:hint="eastAsia" w:ascii="宋体" w:hAnsi="宋体" w:eastAsia="宋体" w:cs="宋体"/>
          <w:kern w:val="2"/>
          <w:sz w:val="24"/>
          <w:szCs w:val="24"/>
          <w:u w:val="none"/>
          <w:vertAlign w:val="baseline"/>
          <w:lang w:val="en-US" w:eastAsia="zh-CN" w:bidi="ar-SA"/>
        </w:rPr>
        <w:t>东南部为</w:t>
      </w:r>
      <w:r>
        <w:rPr>
          <w:rFonts w:hint="eastAsia" w:ascii="宋体" w:hAnsi="宋体" w:eastAsia="宋体" w:cs="宋体"/>
          <w:sz w:val="24"/>
          <w:szCs w:val="24"/>
          <w:lang w:val="en-US" w:eastAsia="zh-CN"/>
        </w:rPr>
        <w:t>缓坡地带，为植被覆盖，地势低平</w:t>
      </w:r>
      <w:r>
        <w:rPr>
          <w:rFonts w:hint="eastAsia" w:ascii="宋体" w:hAnsi="宋体" w:cs="宋体"/>
          <w:sz w:val="24"/>
          <w:szCs w:val="24"/>
          <w:lang w:val="en-US" w:eastAsia="zh-CN"/>
        </w:rPr>
        <w:t>，只有东南部具备试探条件。</w:t>
      </w:r>
      <w:r>
        <w:rPr>
          <w:rFonts w:hint="eastAsia" w:ascii="宋体" w:hAnsi="宋体" w:eastAsia="宋体" w:cs="宋体"/>
          <w:sz w:val="24"/>
          <w:szCs w:val="24"/>
          <w:lang w:val="en-US" w:eastAsia="zh-CN"/>
        </w:rPr>
        <w:t>考古试探表明，地块东南角地层堆积简单且一致：①层：表土层，为灰褐色黏土，土质疏松，包含植物根茎；该层下即生土，为黄褐色黏土，土质致密、纯净。</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调查在地块范围内未发现古代文化遗存和不可移动文物。</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文物保护建议：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cs="宋体"/>
          <w:color w:val="auto"/>
          <w:kern w:val="2"/>
          <w:sz w:val="24"/>
          <w:szCs w:val="24"/>
          <w:lang w:val="en-US" w:eastAsia="zh-CN" w:bidi="ar-SA"/>
        </w:rPr>
        <w:t>根据以上考古调查和试探结果</w:t>
      </w:r>
      <w:r>
        <w:rPr>
          <w:rFonts w:hint="eastAsia" w:ascii="宋体" w:hAnsi="宋体" w:cs="宋体"/>
          <w:sz w:val="24"/>
          <w:szCs w:val="24"/>
          <w:lang w:val="en-US" w:eastAsia="zh-CN"/>
        </w:rPr>
        <w:t xml:space="preserve">，在地块范围内未发现具有历史文化价值、需要进一步开展考古勘探的古代文化遗存。本次调查对于今后在这一区域的考古工作具有一定的借鉴意义。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本次考古调查工作完成后，</w:t>
      </w:r>
      <w:r>
        <w:rPr>
          <w:rFonts w:hint="eastAsia" w:ascii="宋体" w:hAnsi="宋体" w:cs="宋体"/>
          <w:sz w:val="24"/>
          <w:szCs w:val="24"/>
          <w:lang w:val="en-US" w:eastAsia="zh-CN"/>
        </w:rPr>
        <w:t>收储</w:t>
      </w:r>
      <w:r>
        <w:rPr>
          <w:rFonts w:hint="eastAsia" w:ascii="宋体" w:hAnsi="宋体" w:cs="宋体"/>
          <w:sz w:val="24"/>
          <w:szCs w:val="24"/>
        </w:rPr>
        <w:t>单位可以</w:t>
      </w:r>
      <w:r>
        <w:rPr>
          <w:rFonts w:hint="eastAsia" w:ascii="宋体" w:hAnsi="宋体" w:cs="宋体"/>
          <w:sz w:val="24"/>
          <w:szCs w:val="24"/>
          <w:lang w:val="en-US" w:eastAsia="zh-CN"/>
        </w:rPr>
        <w:t>按规定继续完善土地出让的</w:t>
      </w:r>
      <w:r>
        <w:rPr>
          <w:rFonts w:hint="eastAsia" w:ascii="宋体" w:hAns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cs="宋体"/>
          <w:sz w:val="24"/>
          <w:szCs w:val="24"/>
        </w:rPr>
      </w:pPr>
      <w:r>
        <w:rPr>
          <w:rFonts w:hint="eastAsia" w:ascii="宋体" w:hAnsi="宋体" w:cs="宋体"/>
          <w:sz w:val="24"/>
          <w:szCs w:val="24"/>
        </w:rPr>
        <w:t>由于地下堆积、文化遗存的形成</w:t>
      </w:r>
      <w:r>
        <w:rPr>
          <w:rFonts w:hint="eastAsia" w:ascii="宋体" w:hAnsi="宋体" w:cs="宋体"/>
          <w:sz w:val="24"/>
          <w:szCs w:val="24"/>
          <w:lang w:val="en-US" w:eastAsia="zh-CN"/>
        </w:rPr>
        <w:t>和</w:t>
      </w:r>
      <w:r>
        <w:rPr>
          <w:rFonts w:hint="eastAsia" w:ascii="宋体" w:hAnsi="宋体" w:cs="宋体"/>
          <w:sz w:val="24"/>
          <w:szCs w:val="24"/>
        </w:rPr>
        <w:t>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val="0"/>
        <w:autoSpaceDN w:val="0"/>
        <w:bidi w:val="0"/>
        <w:adjustRightInd w:val="0"/>
        <w:snapToGrid/>
        <w:spacing w:line="800" w:lineRule="exact"/>
        <w:textAlignment w:val="auto"/>
        <w:rPr>
          <w:rFonts w:hint="eastAsia" w:ascii="楷体" w:hAnsi="Times New Roman" w:eastAsia="宋体" w:cs="楷体"/>
          <w:b/>
          <w:sz w:val="30"/>
          <w:szCs w:val="30"/>
          <w:lang w:eastAsia="zh-CN"/>
        </w:rPr>
      </w:pPr>
      <w:r>
        <w:rPr>
          <w:rFonts w:hint="eastAsia" w:ascii="宋体" w:hAnsi="Times New Roman" w:cs="宋体"/>
          <w:b/>
          <w:sz w:val="28"/>
          <w:szCs w:val="28"/>
        </w:rPr>
        <w:t>报告编写：</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62" w:firstLineChars="200"/>
        <w:textAlignment w:val="auto"/>
        <w:rPr>
          <w:rFonts w:ascii="宋体" w:hAnsi="Times New Roman" w:cs="宋体"/>
          <w:b/>
          <w:sz w:val="28"/>
          <w:szCs w:val="28"/>
        </w:rPr>
      </w:pPr>
      <w:r>
        <w:rPr>
          <w:rFonts w:hint="eastAsia" w:ascii="宋体" w:hAnsi="Times New Roman" w:cs="宋体"/>
          <w:b/>
          <w:sz w:val="28"/>
          <w:szCs w:val="28"/>
        </w:rPr>
        <w:t>审核：</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51" w:firstLineChars="196"/>
        <w:textAlignment w:val="auto"/>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ascii="宋体" w:hAnsi="Times New Roman" w:cs="宋体"/>
          <w:b/>
          <w:sz w:val="28"/>
          <w:szCs w:val="28"/>
        </w:rPr>
        <w:t>日期</w:t>
      </w:r>
      <w:r>
        <w:rPr>
          <w:rFonts w:hint="eastAsia" w:ascii="宋体" w:hAnsi="Times New Roman" w:cs="宋体"/>
          <w:b/>
          <w:sz w:val="28"/>
          <w:szCs w:val="28"/>
          <w:lang w:eastAsia="zh-CN"/>
        </w:rPr>
        <w:t>：</w:t>
      </w:r>
    </w:p>
    <w:sdt>
      <w:sdtPr>
        <w:rPr>
          <w:rFonts w:ascii="宋体" w:hAnsi="宋体"/>
          <w:b/>
          <w:bCs/>
          <w:sz w:val="36"/>
          <w:szCs w:val="36"/>
        </w:rPr>
        <w:id w:val="147455951"/>
        <w15:color w:val="DBDBDB"/>
        <w:docPartObj>
          <w:docPartGallery w:val="Table of Contents"/>
          <w:docPartUnique/>
        </w:docPartObj>
      </w:sdtPr>
      <w:sdtEndPr>
        <w:rPr>
          <w:rFonts w:hint="eastAsia" w:ascii="宋体" w:hAnsi="宋体" w:cs="宋体"/>
          <w:b/>
          <w:bCs/>
          <w:sz w:val="28"/>
          <w:szCs w:val="28"/>
        </w:rPr>
      </w:sdtEndPr>
      <w:sdtContent>
        <w:p>
          <w:pPr>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_Toc30697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_Toc30697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_Toc24594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二、</w:t>
          </w:r>
          <w:r>
            <w:rPr>
              <w:rFonts w:hint="eastAsia" w:ascii="宋体" w:hAnsi="宋体" w:eastAsia="宋体" w:cs="宋体"/>
              <w:sz w:val="28"/>
              <w:szCs w:val="28"/>
            </w:rPr>
            <w:t>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_Toc24594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_Toc22300 </w:instrText>
          </w:r>
          <w:r>
            <w:rPr>
              <w:rFonts w:hint="eastAsia" w:ascii="宋体" w:hAnsi="宋体" w:eastAsia="宋体" w:cs="宋体"/>
              <w:sz w:val="28"/>
              <w:szCs w:val="28"/>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_Toc22300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_Toc20192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val="en-US" w:eastAsia="zh-CN"/>
            </w:rPr>
            <w:t>（二） 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_Toc20192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_Toc20122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（三）现场踏查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_Toc20122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_Toc24909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_Toc24909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_Toc24257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bidi="ar-SA"/>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_Toc24257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_Toc17454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_Toc17454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_Toc16187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_Toc16187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_Toc15881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附表一  增城区中新科技园区74.181亩地块考古调查试探数据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_Toc15881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_Toc23537 </w:instrText>
          </w:r>
          <w:r>
            <w:rPr>
              <w:rFonts w:hint="eastAsia" w:ascii="宋体" w:hAnsi="宋体" w:eastAsia="宋体" w:cs="宋体"/>
              <w:sz w:val="28"/>
              <w:szCs w:val="28"/>
            </w:rPr>
            <w:fldChar w:fldCharType="separate"/>
          </w:r>
          <w:r>
            <w:rPr>
              <w:rFonts w:hint="eastAsia" w:ascii="宋体" w:hAnsi="宋体" w:eastAsia="宋体" w:cs="宋体"/>
              <w:sz w:val="28"/>
              <w:szCs w:val="28"/>
              <w:lang w:bidi="en-US"/>
            </w:rPr>
            <w:t>附录一</w:t>
          </w:r>
          <w:r>
            <w:rPr>
              <w:rFonts w:hint="eastAsia" w:ascii="宋体" w:hAnsi="宋体" w:eastAsia="宋体" w:cs="宋体"/>
              <w:sz w:val="28"/>
              <w:szCs w:val="28"/>
              <w:lang w:val="en-US" w:eastAsia="zh-CN" w:bidi="en-US"/>
            </w:rPr>
            <w:t xml:space="preserve">  </w:t>
          </w:r>
          <w:r>
            <w:rPr>
              <w:rFonts w:hint="eastAsia" w:ascii="宋体" w:hAnsi="宋体" w:eastAsia="宋体" w:cs="宋体"/>
              <w:kern w:val="2"/>
              <w:sz w:val="28"/>
              <w:szCs w:val="28"/>
              <w:highlight w:val="none"/>
              <w:lang w:val="en-US" w:eastAsia="zh-CN" w:bidi="zh-CN"/>
            </w:rPr>
            <w:t>广州市文物局关于增城区2023年度第五批地块考古调查勘探工作的复函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_Toc23537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_Toc13492 </w:instrText>
          </w:r>
          <w:r>
            <w:rPr>
              <w:rFonts w:hint="eastAsia" w:ascii="宋体" w:hAnsi="宋体" w:eastAsia="宋体" w:cs="宋体"/>
              <w:sz w:val="28"/>
              <w:szCs w:val="28"/>
            </w:rPr>
            <w:fldChar w:fldCharType="separate"/>
          </w:r>
          <w:r>
            <w:rPr>
              <w:rFonts w:hint="eastAsia" w:ascii="宋体" w:hAnsi="宋体" w:eastAsia="宋体" w:cs="宋体"/>
              <w:sz w:val="28"/>
              <w:szCs w:val="28"/>
            </w:rPr>
            <w:t>附录二</w:t>
          </w:r>
          <w:r>
            <w:rPr>
              <w:rFonts w:hint="eastAsia" w:ascii="宋体" w:hAnsi="宋体" w:eastAsia="宋体" w:cs="宋体"/>
              <w:sz w:val="28"/>
              <w:szCs w:val="28"/>
              <w:lang w:val="en-US" w:eastAsia="zh-CN"/>
            </w:rPr>
            <w:t xml:space="preserve">  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_Toc13492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_Toc20138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三  </w:t>
          </w:r>
          <w:r>
            <w:rPr>
              <w:rFonts w:hint="eastAsia" w:ascii="宋体" w:hAnsi="宋体" w:eastAsia="宋体" w:cs="宋体"/>
              <w:sz w:val="28"/>
              <w:szCs w:val="28"/>
              <w:lang w:eastAsia="zh-CN" w:bidi="en-US"/>
            </w:rPr>
            <w:t>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_Toc20138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_Toc8443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四  </w:t>
          </w:r>
          <w:r>
            <w:rPr>
              <w:rFonts w:hint="eastAsia" w:ascii="宋体" w:hAnsi="宋体" w:eastAsia="宋体" w:cs="宋体"/>
              <w:sz w:val="28"/>
              <w:szCs w:val="28"/>
              <w:lang w:eastAsia="zh-CN" w:bidi="en-US"/>
            </w:rPr>
            <w:t>关于本报告使用的专业术语、概念和标准的说明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_Toc8443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textAlignment w:val="auto"/>
            <w:rPr>
              <w:rFonts w:hint="eastAsia" w:ascii="宋体" w:hAnsi="宋体" w:cs="宋体"/>
              <w:b/>
              <w:bCs/>
              <w:sz w:val="28"/>
              <w:szCs w:val="28"/>
            </w:rPr>
          </w:pPr>
          <w:r>
            <w:rPr>
              <w:rFonts w:hint="eastAsia" w:ascii="宋体" w:hAnsi="宋体" w:eastAsia="宋体" w:cs="宋体"/>
              <w:sz w:val="28"/>
              <w:szCs w:val="28"/>
            </w:rPr>
            <w:fldChar w:fldCharType="end"/>
          </w:r>
        </w:p>
      </w:sdtContent>
    </w:sdt>
    <w:p/>
    <w:p>
      <w:pPr>
        <w:spacing w:line="360" w:lineRule="auto"/>
        <w:jc w:val="center"/>
      </w:pPr>
    </w:p>
    <w:p>
      <w:pPr>
        <w:spacing w:line="360" w:lineRule="auto"/>
        <w:jc w:val="center"/>
        <w:rPr>
          <w:rStyle w:val="37"/>
        </w:rPr>
        <w:sectPr>
          <w:footerReference r:id="rId3" w:type="default"/>
          <w:pgSz w:w="11906" w:h="16838"/>
          <w:pgMar w:top="1440" w:right="1800" w:bottom="1440" w:left="1800" w:header="851" w:footer="992" w:gutter="0"/>
          <w:pgNumType w:start="1"/>
          <w:cols w:space="720" w:num="1"/>
          <w:docGrid w:type="lines" w:linePitch="312" w:charSpace="0"/>
        </w:sectPr>
      </w:pPr>
    </w:p>
    <w:p>
      <w:pPr>
        <w:spacing w:line="360" w:lineRule="auto"/>
        <w:jc w:val="center"/>
        <w:outlineLvl w:val="0"/>
        <w:rPr>
          <w:rFonts w:ascii="宋体" w:hAnsi="宋体"/>
          <w:color w:val="FF0000"/>
          <w:szCs w:val="21"/>
        </w:rPr>
      </w:pPr>
      <w:bookmarkStart w:id="18" w:name="_Toc30697"/>
      <w:bookmarkStart w:id="19" w:name="_Toc23341"/>
      <w:bookmarkStart w:id="20" w:name="_Toc23206"/>
      <w:bookmarkStart w:id="21" w:name="_Toc23903"/>
      <w:r>
        <w:rPr>
          <w:rStyle w:val="56"/>
          <w:rFonts w:hint="eastAsia"/>
        </w:rPr>
        <w:t>一、项目概况</w:t>
      </w:r>
      <w:bookmarkEnd w:id="18"/>
      <w:bookmarkEnd w:id="19"/>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kern w:val="0"/>
          <w:sz w:val="24"/>
          <w:szCs w:val="24"/>
          <w:lang w:val="en-US" w:eastAsia="zh-CN" w:bidi="ar-SA"/>
        </w:rPr>
      </w:pPr>
      <w:r>
        <w:rPr>
          <w:rFonts w:hint="eastAsia" w:cs="宋体"/>
          <w:kern w:val="2"/>
          <w:sz w:val="24"/>
          <w:szCs w:val="24"/>
          <w:highlight w:val="none"/>
          <w:lang w:val="en-US" w:eastAsia="zh-CN" w:bidi="zh-CN"/>
        </w:rPr>
        <w:t>增城区中新科技园区74.181亩地块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w:t>
      </w:r>
      <w:r>
        <w:rPr>
          <w:rFonts w:hint="eastAsia" w:ascii="宋体" w:hAnsi="宋体" w:eastAsia="宋体" w:cs="宋体"/>
          <w:kern w:val="2"/>
          <w:sz w:val="24"/>
          <w:szCs w:val="24"/>
          <w:highlight w:val="none"/>
          <w:lang w:val="en-US" w:eastAsia="zh-CN" w:bidi="zh-CN"/>
        </w:rPr>
        <w:t>内，</w:t>
      </w:r>
      <w:r>
        <w:rPr>
          <w:rFonts w:hint="eastAsia" w:cs="宋体"/>
          <w:kern w:val="2"/>
          <w:sz w:val="24"/>
          <w:szCs w:val="24"/>
          <w:highlight w:val="none"/>
          <w:lang w:val="en-US" w:eastAsia="zh-CN" w:bidi="zh-CN"/>
        </w:rPr>
        <w:t>南邻恒创工业园，东距乌石南一路约一公里</w:t>
      </w:r>
      <w:r>
        <w:rPr>
          <w:rFonts w:hint="eastAsia" w:ascii="宋体" w:hAnsi="宋体" w:eastAsia="宋体" w:cs="宋体"/>
          <w:kern w:val="2"/>
          <w:sz w:val="24"/>
          <w:szCs w:val="24"/>
          <w:highlight w:val="none"/>
          <w:lang w:val="en-US" w:eastAsia="zh-CN" w:bidi="zh-CN"/>
        </w:rPr>
        <w:t>。</w:t>
      </w:r>
      <w:r>
        <w:rPr>
          <w:rFonts w:hint="eastAsia" w:cs="宋体"/>
          <w:color w:val="auto"/>
          <w:kern w:val="0"/>
          <w:sz w:val="24"/>
          <w:szCs w:val="24"/>
          <w:lang w:val="en-US" w:eastAsia="zh-CN" w:bidi="ar-SA"/>
        </w:rPr>
        <w:t>该项目总用地面积约</w:t>
      </w:r>
      <w:r>
        <w:rPr>
          <w:rFonts w:hint="eastAsia" w:cs="宋体"/>
          <w:color w:val="auto"/>
          <w:sz w:val="24"/>
          <w:szCs w:val="24"/>
          <w:lang w:val="en-US" w:eastAsia="zh-CN"/>
        </w:rPr>
        <w:t>49454</w:t>
      </w:r>
      <w:r>
        <w:rPr>
          <w:rFonts w:hint="eastAsia" w:ascii="宋体" w:hAnsi="宋体" w:cs="宋体"/>
          <w:color w:val="auto"/>
          <w:sz w:val="24"/>
          <w:szCs w:val="24"/>
          <w:lang w:val="en-US" w:eastAsia="zh-CN"/>
        </w:rPr>
        <w:t>平方米</w:t>
      </w:r>
      <w:r>
        <w:rPr>
          <w:rFonts w:hint="eastAsia" w:ascii="宋体" w:hAnsi="宋体" w:eastAsia="宋体" w:cs="宋体"/>
          <w:color w:val="auto"/>
          <w:kern w:val="0"/>
          <w:sz w:val="24"/>
          <w:szCs w:val="24"/>
          <w:lang w:val="en-US" w:eastAsia="zh-CN" w:bidi="ar-SA"/>
        </w:rPr>
        <w:t>，由</w:t>
      </w:r>
      <w:r>
        <w:rPr>
          <w:rFonts w:hint="eastAsia" w:cs="宋体"/>
          <w:color w:val="auto"/>
          <w:kern w:val="0"/>
          <w:sz w:val="24"/>
          <w:szCs w:val="24"/>
          <w:lang w:val="en-US" w:eastAsia="zh-CN" w:bidi="ar-SA"/>
        </w:rPr>
        <w:t>广州市增城区土地开发储备中心</w:t>
      </w:r>
      <w:r>
        <w:rPr>
          <w:rFonts w:hint="eastAsia"/>
          <w:color w:val="auto"/>
          <w:spacing w:val="0"/>
          <w:w w:val="100"/>
          <w:position w:val="0"/>
          <w:lang w:val="en-US" w:eastAsia="zh-CN"/>
        </w:rPr>
        <w:t>负责收储出让</w:t>
      </w:r>
      <w:r>
        <w:rPr>
          <w:rFonts w:hint="eastAsia" w:ascii="宋体" w:hAnsi="宋体" w:eastAsia="宋体" w:cs="宋体"/>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该地块四至坐标为：西南角N23°17′18.38</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°37′35.38″</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东南角N23°17′15.43</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°37′46.90″</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东北角N23°17′20.42</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°37′46.51″</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西北角N23°17′24.62</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°37′37.22″</w:t>
      </w:r>
      <w:r>
        <w:rPr>
          <w:rFonts w:hint="eastAsia" w:ascii="宋体" w:hAnsi="宋体" w:cs="宋体"/>
          <w:kern w:val="2"/>
          <w:sz w:val="24"/>
          <w:szCs w:val="24"/>
          <w:highlight w:val="none"/>
          <w:lang w:val="en-US" w:eastAsia="zh-CN" w:bidi="zh-CN"/>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cs="宋体"/>
          <w:kern w:val="2"/>
          <w:sz w:val="24"/>
          <w:szCs w:val="24"/>
          <w:highlight w:val="none"/>
          <w:lang w:val="en-US" w:eastAsia="zh-CN" w:bidi="zh-CN"/>
        </w:rPr>
        <w:t>《广州市文物局关于增城区2023年度第五批地块考古调查勘探工作的复函》（文物20231290号）</w:t>
      </w:r>
      <w:r>
        <w:rPr>
          <w:rFonts w:hint="eastAsia" w:ascii="宋体" w:hAnsi="宋体" w:eastAsia="宋体" w:cs="宋体"/>
          <w:color w:val="auto"/>
          <w:kern w:val="2"/>
          <w:sz w:val="24"/>
          <w:szCs w:val="24"/>
          <w:highlight w:val="none"/>
          <w:lang w:val="en-US" w:eastAsia="zh-CN" w:bidi="zh-CN"/>
        </w:rPr>
        <w:t>指导意见</w:t>
      </w:r>
      <w:r>
        <w:rPr>
          <w:rFonts w:hint="eastAsia" w:cs="宋体"/>
          <w:color w:val="auto"/>
          <w:kern w:val="2"/>
          <w:sz w:val="24"/>
          <w:szCs w:val="24"/>
          <w:highlight w:val="none"/>
          <w:lang w:val="en-US" w:eastAsia="zh-CN" w:bidi="zh-CN"/>
        </w:rPr>
        <w:t>，</w:t>
      </w:r>
      <w:r>
        <w:rPr>
          <w:rFonts w:hint="eastAsia" w:ascii="宋体" w:hAnsi="宋体" w:eastAsia="宋体" w:cs="宋体"/>
          <w:color w:val="auto"/>
          <w:kern w:val="2"/>
          <w:sz w:val="24"/>
          <w:szCs w:val="24"/>
          <w:highlight w:val="none"/>
          <w:lang w:val="en-US" w:eastAsia="zh-CN" w:bidi="zh-CN"/>
        </w:rPr>
        <w:t>受</w:t>
      </w:r>
      <w:r>
        <w:rPr>
          <w:rFonts w:hint="eastAsia" w:cs="宋体"/>
          <w:color w:val="auto"/>
          <w:kern w:val="2"/>
          <w:sz w:val="24"/>
          <w:szCs w:val="24"/>
          <w:highlight w:val="none"/>
          <w:lang w:val="en-US" w:eastAsia="zh-CN" w:bidi="zh-CN"/>
        </w:rPr>
        <w:t>广州市增城区土地开发储备中心</w:t>
      </w:r>
      <w:r>
        <w:rPr>
          <w:rFonts w:hint="eastAsia" w:ascii="宋体" w:hAnsi="宋体" w:eastAsia="宋体" w:cs="宋体"/>
          <w:kern w:val="2"/>
          <w:sz w:val="24"/>
          <w:szCs w:val="24"/>
          <w:highlight w:val="none"/>
          <w:lang w:val="en-US" w:eastAsia="zh-CN" w:bidi="zh-CN"/>
        </w:rPr>
        <w:t>的委托</w:t>
      </w:r>
      <w:r>
        <w:rPr>
          <w:rFonts w:hint="eastAsia" w:ascii="宋体" w:hAnsi="宋体" w:cs="宋体"/>
          <w:sz w:val="24"/>
          <w:szCs w:val="24"/>
        </w:rPr>
        <w:t>，</w:t>
      </w:r>
      <w:r>
        <w:rPr>
          <w:rFonts w:hint="eastAsia" w:ascii="宋体" w:hAnsi="宋体" w:eastAsia="宋体" w:cs="宋体"/>
          <w:kern w:val="2"/>
          <w:sz w:val="24"/>
          <w:szCs w:val="24"/>
          <w:highlight w:val="none"/>
          <w:lang w:val="en-US" w:eastAsia="zh-CN" w:bidi="zh-CN"/>
        </w:rPr>
        <w:t>由我院负责该项目的考古调查工作。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575685" cy="4939030"/>
            <wp:effectExtent l="9525" t="9525" r="15240" b="23495"/>
            <wp:docPr id="2" name="图片 2" descr="项目在广州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在广州市位置图"/>
                    <pic:cNvPicPr>
                      <a:picLocks noChangeAspect="1"/>
                    </pic:cNvPicPr>
                  </pic:nvPicPr>
                  <pic:blipFill>
                    <a:blip r:embed="rId8"/>
                    <a:stretch>
                      <a:fillRect/>
                    </a:stretch>
                  </pic:blipFill>
                  <pic:spPr>
                    <a:xfrm>
                      <a:off x="0" y="0"/>
                      <a:ext cx="3575685" cy="493903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项目地块在广州市位置示意图（广东省自然资源厅）</w:t>
      </w:r>
    </w:p>
    <w:p>
      <w:pPr>
        <w:rPr>
          <w:rFonts w:hint="eastAsia" w:ascii="黑体" w:hAnsi="黑体" w:eastAsia="黑体" w:cs="黑体"/>
          <w:kern w:val="0"/>
          <w:sz w:val="21"/>
          <w:szCs w:val="21"/>
          <w:lang w:val="en-US" w:eastAsia="zh-CN" w:bidi="ar"/>
        </w:rPr>
      </w:pPr>
      <w:r>
        <w:rPr>
          <w:rFonts w:hint="eastAsia" w:ascii="黑体" w:hAnsi="黑体" w:eastAsia="黑体" w:cs="黑体"/>
          <w:w w:val="95"/>
          <w:sz w:val="21"/>
          <w:szCs w:val="21"/>
          <w:lang w:eastAsia="zh-CN"/>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0975" cy="7266940"/>
            <wp:effectExtent l="9525" t="9525" r="25400" b="19685"/>
            <wp:docPr id="3" name="图片 3" descr="项目在增城区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项目在增城区位置图"/>
                    <pic:cNvPicPr>
                      <a:picLocks noChangeAspect="1"/>
                    </pic:cNvPicPr>
                  </pic:nvPicPr>
                  <pic:blipFill>
                    <a:blip r:embed="rId9"/>
                    <a:stretch>
                      <a:fillRect/>
                    </a:stretch>
                  </pic:blipFill>
                  <pic:spPr>
                    <a:xfrm>
                      <a:off x="0" y="0"/>
                      <a:ext cx="5260975" cy="7266940"/>
                    </a:xfrm>
                    <a:prstGeom prst="rect">
                      <a:avLst/>
                    </a:prstGeom>
                    <a:ln>
                      <a:solidFill>
                        <a:schemeClr val="tx1"/>
                      </a:solidFill>
                    </a:ln>
                  </pic:spPr>
                </pic:pic>
              </a:graphicData>
            </a:graphic>
          </wp:inline>
        </w:drawing>
      </w:r>
    </w:p>
    <w:p>
      <w:pPr>
        <w:pStyle w:val="9"/>
        <w:jc w:val="center"/>
        <w:rPr>
          <w:rFonts w:hint="eastAsia" w:ascii="黑体" w:hAnsi="黑体" w:eastAsia="黑体" w:cs="黑体"/>
          <w:kern w:val="0"/>
          <w:sz w:val="21"/>
          <w:szCs w:val="21"/>
          <w:lang w:val="en-US" w:eastAsia="zh-CN" w:bidi="ar"/>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项目</w:t>
      </w:r>
      <w:r>
        <w:rPr>
          <w:rFonts w:hint="eastAsia" w:ascii="黑体" w:hAnsi="黑体" w:eastAsia="黑体" w:cs="黑体"/>
          <w:sz w:val="21"/>
          <w:szCs w:val="21"/>
          <w:lang w:val="en-US" w:eastAsia="zh-CN"/>
        </w:rPr>
        <w:t>地块在增城区位置示意图（广东省自然资源厅）</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960" cy="3436620"/>
            <wp:effectExtent l="0" t="0" r="8890" b="11430"/>
            <wp:docPr id="5" name="图片 5" descr="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周边环境示意图"/>
                    <pic:cNvPicPr>
                      <a:picLocks noChangeAspect="1"/>
                    </pic:cNvPicPr>
                  </pic:nvPicPr>
                  <pic:blipFill>
                    <a:blip r:embed="rId10"/>
                    <a:stretch>
                      <a:fillRect/>
                    </a:stretch>
                  </pic:blipFill>
                  <pic:spPr>
                    <a:xfrm>
                      <a:off x="0" y="0"/>
                      <a:ext cx="5267960" cy="3436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项目地块周边环境示意图（腾讯地图）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8595" cy="3670300"/>
            <wp:effectExtent l="0" t="0" r="8255" b="6350"/>
            <wp:docPr id="4" name="图片 4" descr="4.中新科技园区74亩地块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中新科技园区74亩地块位置图"/>
                    <pic:cNvPicPr>
                      <a:picLocks noChangeAspect="1"/>
                    </pic:cNvPicPr>
                  </pic:nvPicPr>
                  <pic:blipFill>
                    <a:blip r:embed="rId11"/>
                    <a:stretch>
                      <a:fillRect/>
                    </a:stretch>
                  </pic:blipFill>
                  <pic:spPr>
                    <a:xfrm>
                      <a:off x="0" y="0"/>
                      <a:ext cx="5268595" cy="3670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项目地块红线图（增城土发供图）</w:t>
      </w:r>
    </w:p>
    <w:p>
      <w:pPr>
        <w:rPr>
          <w:rStyle w:val="37"/>
          <w:rFonts w:hint="eastAsia"/>
          <w:lang w:val="en-US" w:eastAsia="zh-CN"/>
        </w:rPr>
      </w:pPr>
      <w:r>
        <w:rPr>
          <w:rStyle w:val="37"/>
          <w:rFonts w:hint="eastAsia"/>
          <w:lang w:val="en-US" w:eastAsia="zh-CN"/>
        </w:rPr>
        <w:br w:type="page"/>
      </w:r>
    </w:p>
    <w:p>
      <w:pPr>
        <w:numPr>
          <w:ilvl w:val="0"/>
          <w:numId w:val="0"/>
        </w:numPr>
        <w:spacing w:line="360" w:lineRule="auto"/>
        <w:ind w:leftChars="0"/>
        <w:jc w:val="center"/>
        <w:outlineLvl w:val="0"/>
        <w:rPr>
          <w:rStyle w:val="37"/>
          <w:rFonts w:hint="eastAsia"/>
        </w:rPr>
      </w:pPr>
      <w:bookmarkStart w:id="22" w:name="_Toc24594"/>
      <w:r>
        <w:rPr>
          <w:rStyle w:val="37"/>
          <w:rFonts w:hint="eastAsia"/>
          <w:lang w:val="en-US" w:eastAsia="zh-CN"/>
        </w:rPr>
        <w:t>二、</w:t>
      </w:r>
      <w:r>
        <w:rPr>
          <w:rStyle w:val="37"/>
          <w:rFonts w:hint="eastAsia"/>
        </w:rPr>
        <w:t>考古调查</w:t>
      </w:r>
      <w:bookmarkEnd w:id="20"/>
      <w:bookmarkEnd w:id="22"/>
    </w:p>
    <w:bookmarkEnd w:id="21"/>
    <w:p>
      <w:pPr>
        <w:pStyle w:val="17"/>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textAlignment w:val="auto"/>
      </w:pPr>
      <w:bookmarkStart w:id="23" w:name="_Toc1034"/>
      <w:bookmarkStart w:id="24" w:name="_Toc13493"/>
      <w:bookmarkStart w:id="25" w:name="_Toc14220"/>
      <w:bookmarkStart w:id="26" w:name="_Toc5422"/>
      <w:bookmarkStart w:id="27" w:name="_Toc22300"/>
      <w:bookmarkStart w:id="28" w:name="_Toc31709"/>
      <w:bookmarkStart w:id="29" w:name="_Toc875"/>
      <w:bookmarkStart w:id="30" w:name="_Toc6334"/>
      <w:bookmarkStart w:id="31" w:name="_Toc29213"/>
      <w:bookmarkStart w:id="32" w:name="_Toc13174"/>
      <w:r>
        <w:rPr>
          <w:rFonts w:hint="eastAsia"/>
        </w:rPr>
        <w:t>（一）工作方法</w:t>
      </w:r>
      <w:bookmarkEnd w:id="23"/>
      <w:bookmarkEnd w:id="24"/>
      <w:bookmarkEnd w:id="25"/>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sz w:val="24"/>
        </w:rPr>
        <w:t>考古调查的任务是发现、确认和研究文化遗存，为文化遗产保护提供依据，包括资料准备</w:t>
      </w:r>
      <w:r>
        <w:rPr>
          <w:rFonts w:hint="eastAsia"/>
          <w:sz w:val="24"/>
          <w:lang w:eastAsia="zh-CN"/>
        </w:rPr>
        <w:t>、</w:t>
      </w:r>
      <w:r>
        <w:rPr>
          <w:rFonts w:hint="eastAsia"/>
          <w:sz w:val="24"/>
        </w:rPr>
        <w:t>现场踏查和考古试探三个步骤。</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ascii="宋体" w:hAnsi="宋体" w:cs="宋体"/>
          <w:sz w:val="24"/>
        </w:rPr>
        <w:t>1.</w:t>
      </w:r>
      <w:r>
        <w:rPr>
          <w:rFonts w:hint="eastAsia"/>
          <w:sz w:val="24"/>
        </w:rPr>
        <w:t>基础资料准备：搜集项目地块相关历史文献、考古成果和图像、测绘资料，初步了解该项目地块的历史沿革和文化堆积情况。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sz w:val="24"/>
          <w:lang w:eastAsia="zh-CN"/>
        </w:rPr>
        <w:t>：</w:t>
      </w:r>
      <w:r>
        <w:rPr>
          <w:rFonts w:hint="eastAsia" w:ascii="宋体" w:hAnsi="宋体" w:cs="宋体"/>
          <w:sz w:val="24"/>
        </w:rPr>
        <w:t>2000，局部地形实测图精度不低于1</w:t>
      </w:r>
      <w:r>
        <w:rPr>
          <w:rFonts w:hint="eastAsia" w:ascii="宋体" w:hAnsi="宋体" w:cs="宋体"/>
          <w:sz w:val="24"/>
          <w:lang w:eastAsia="zh-CN"/>
        </w:rPr>
        <w:t>：</w:t>
      </w:r>
      <w:r>
        <w:rPr>
          <w:rFonts w:hint="eastAsia" w:ascii="宋体" w:hAnsi="宋体" w:cs="宋体"/>
          <w:sz w:val="24"/>
        </w:rPr>
        <w:t>1000。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掌握项目地块内地下线网、管网分布情况，制定避让方案。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根据项目地块的现场情况和历年考古成果，制定科学、详实的工作计划，明确工作任务、技术路线、人员分工和职责、工作进度、文物保护措施和应急预案等。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rPr>
      </w:pPr>
      <w:r>
        <w:rPr>
          <w:rFonts w:hint="eastAsia" w:ascii="宋体" w:hAnsi="宋体" w:cs="宋体"/>
          <w:sz w:val="24"/>
        </w:rPr>
        <w:t>2.</w:t>
      </w:r>
      <w:r>
        <w:rPr>
          <w:rFonts w:hint="eastAsia"/>
          <w:sz w:val="24"/>
        </w:rPr>
        <w:t>现场</w:t>
      </w:r>
      <w:r>
        <w:rPr>
          <w:rFonts w:hint="eastAsia"/>
          <w:sz w:val="24"/>
          <w:lang w:eastAsia="zh-CN"/>
        </w:rPr>
        <w:t>踏查</w:t>
      </w:r>
      <w:r>
        <w:rPr>
          <w:rFonts w:hint="eastAsia"/>
          <w:sz w:val="24"/>
        </w:rPr>
        <w:t>：基本内容包括踏</w:t>
      </w:r>
      <w:r>
        <w:rPr>
          <w:rFonts w:hint="eastAsia"/>
          <w:sz w:val="24"/>
          <w:lang w:eastAsia="zh-CN"/>
        </w:rPr>
        <w:t>查</w:t>
      </w:r>
      <w:r>
        <w:rPr>
          <w:rFonts w:hint="eastAsia"/>
          <w:sz w:val="24"/>
        </w:rPr>
        <w:t>对象的位置、范围与面积、堆积状况、年代</w:t>
      </w:r>
      <w:r>
        <w:rPr>
          <w:rFonts w:hint="eastAsia"/>
          <w:spacing w:val="0"/>
          <w:sz w:val="24"/>
        </w:rPr>
        <w:t>与文化面貌、环境、保存现状等等。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cs="宋体"/>
          <w:spacing w:val="0"/>
          <w:sz w:val="24"/>
        </w:rPr>
        <w:t>（1）</w:t>
      </w:r>
      <w:r>
        <w:rPr>
          <w:rFonts w:hint="eastAsia"/>
          <w:spacing w:val="0"/>
          <w:sz w:val="24"/>
        </w:rPr>
        <w:t>领队应熟悉</w:t>
      </w:r>
      <w:r>
        <w:rPr>
          <w:rFonts w:hint="eastAsia"/>
          <w:spacing w:val="0"/>
          <w:sz w:val="24"/>
          <w:lang w:eastAsia="zh-CN"/>
        </w:rPr>
        <w:t>项目地块</w:t>
      </w:r>
      <w:r>
        <w:rPr>
          <w:rFonts w:hint="eastAsia"/>
          <w:spacing w:val="0"/>
          <w:sz w:val="24"/>
        </w:rPr>
        <w:t>的地形地貌</w:t>
      </w:r>
      <w:r>
        <w:rPr>
          <w:rFonts w:hint="eastAsia" w:ascii="宋体" w:hAnsi="宋体" w:eastAsia="宋体" w:cs="宋体"/>
          <w:spacing w:val="0"/>
          <w:sz w:val="24"/>
        </w:rPr>
        <w:t>，观察</w:t>
      </w:r>
      <w:r>
        <w:rPr>
          <w:rFonts w:hint="eastAsia" w:ascii="宋体" w:hAnsi="宋体" w:eastAsia="宋体" w:cs="宋体"/>
          <w:spacing w:val="0"/>
          <w:sz w:val="24"/>
          <w:lang w:eastAsia="zh-CN"/>
        </w:rPr>
        <w:t>地块内</w:t>
      </w:r>
      <w:r>
        <w:rPr>
          <w:rFonts w:hint="eastAsia" w:ascii="宋体" w:hAnsi="宋体" w:eastAsia="宋体" w:cs="宋体"/>
          <w:spacing w:val="0"/>
          <w:sz w:val="24"/>
        </w:rPr>
        <w:t>地层断面，现场采集遗物标本，初步了解</w:t>
      </w:r>
      <w:r>
        <w:rPr>
          <w:rFonts w:hint="eastAsia" w:ascii="宋体" w:hAnsi="宋体" w:eastAsia="宋体" w:cs="宋体"/>
          <w:spacing w:val="0"/>
          <w:sz w:val="24"/>
          <w:lang w:eastAsia="zh-CN"/>
        </w:rPr>
        <w:t>地块内</w:t>
      </w:r>
      <w:r>
        <w:rPr>
          <w:rFonts w:hint="eastAsia" w:ascii="宋体" w:hAnsi="宋体" w:eastAsia="宋体" w:cs="宋体"/>
          <w:spacing w:val="0"/>
          <w:sz w:val="24"/>
        </w:rPr>
        <w:t>地层堆积情况，结合资料预判遗址性质。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（2）现场踏</w:t>
      </w:r>
      <w:r>
        <w:rPr>
          <w:rFonts w:hint="eastAsia" w:ascii="宋体" w:hAnsi="宋体" w:eastAsia="宋体" w:cs="宋体"/>
          <w:spacing w:val="0"/>
          <w:sz w:val="24"/>
          <w:lang w:eastAsia="zh-CN"/>
        </w:rPr>
        <w:t>查</w:t>
      </w:r>
      <w:r>
        <w:rPr>
          <w:rFonts w:hint="eastAsia" w:ascii="宋体" w:hAnsi="宋体" w:eastAsia="宋体" w:cs="宋体"/>
          <w:spacing w:val="0"/>
          <w:sz w:val="24"/>
        </w:rPr>
        <w:t>应采用“拉网式”调查法，调查小组由</w:t>
      </w:r>
      <w:r>
        <w:rPr>
          <w:rFonts w:hint="eastAsia" w:ascii="宋体" w:hAnsi="宋体" w:cs="宋体"/>
          <w:spacing w:val="0"/>
          <w:sz w:val="24"/>
          <w:lang w:val="en-US" w:eastAsia="zh-CN"/>
        </w:rPr>
        <w:t>3-</w:t>
      </w:r>
      <w:r>
        <w:rPr>
          <w:rFonts w:hint="eastAsia" w:ascii="宋体" w:hAnsi="宋体" w:eastAsia="宋体" w:cs="宋体"/>
          <w:spacing w:val="0"/>
          <w:sz w:val="24"/>
        </w:rPr>
        <w:t>5人组成，对所有可能埋藏古代文化遗存的区域进行徒步踏查。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（3）测量遗址的地理坐标，并标注在地形图上。</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3.考古试探：</w:t>
      </w:r>
      <w:r>
        <w:rPr>
          <w:rFonts w:hint="eastAsia" w:ascii="宋体" w:hAnsi="宋体" w:eastAsia="宋体" w:cs="宋体"/>
          <w:spacing w:val="0"/>
          <w:sz w:val="24"/>
          <w:szCs w:val="24"/>
        </w:rPr>
        <w:t>根据地块地形、地貌，在地块范围内选取至少</w:t>
      </w:r>
      <w:r>
        <w:rPr>
          <w:rFonts w:hint="eastAsia" w:ascii="宋体" w:hAnsi="宋体" w:cs="宋体"/>
          <w:spacing w:val="0"/>
          <w:sz w:val="24"/>
          <w:szCs w:val="24"/>
          <w:lang w:val="en-US" w:eastAsia="zh-CN"/>
        </w:rPr>
        <w:t>10</w:t>
      </w:r>
      <w:r>
        <w:rPr>
          <w:rFonts w:hint="eastAsia" w:ascii="宋体" w:hAnsi="宋体" w:eastAsia="宋体" w:cs="宋体"/>
          <w:spacing w:val="0"/>
          <w:sz w:val="24"/>
          <w:szCs w:val="24"/>
        </w:rPr>
        <w:t>个地方布点，进行初步勘探，提取土样并记录，以了解该地块内的地层堆积情况，为制定下一步工作计划和方案做好准备。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试探探孔记录应包括各堆积层距离地面的深度、土质土色、</w:t>
      </w:r>
      <w:r>
        <w:rPr>
          <w:rFonts w:hint="eastAsia" w:ascii="宋体" w:hAnsi="宋体" w:cs="宋体"/>
          <w:spacing w:val="0"/>
          <w:sz w:val="24"/>
          <w:szCs w:val="24"/>
          <w:lang w:eastAsia="zh-CN"/>
        </w:rPr>
        <w:t>较致密</w:t>
      </w:r>
      <w:r>
        <w:rPr>
          <w:rFonts w:hint="eastAsia" w:ascii="宋体" w:hAnsi="宋体" w:eastAsia="宋体" w:cs="宋体"/>
          <w:spacing w:val="0"/>
          <w:sz w:val="24"/>
          <w:szCs w:val="24"/>
        </w:rPr>
        <w:t>度、包含物、堆积状况研判结论、现场留取图象清晰、色彩真实的探孔土样的影像记录。</w:t>
      </w:r>
    </w:p>
    <w:p>
      <w:pPr>
        <w:rPr>
          <w:rFonts w:hint="eastAsia"/>
          <w:color w:val="auto"/>
          <w:kern w:val="0"/>
          <w:lang w:val="en-US" w:eastAsia="zh-CN"/>
        </w:rPr>
      </w:pPr>
      <w:r>
        <w:rPr>
          <w:rFonts w:hint="eastAsia"/>
          <w:color w:val="auto"/>
          <w:kern w:val="0"/>
          <w:lang w:val="en-US" w:eastAsia="zh-CN"/>
        </w:rPr>
        <w:br w:type="page"/>
      </w:r>
    </w:p>
    <w:p>
      <w:pPr>
        <w:pStyle w:val="17"/>
        <w:keepNext w:val="0"/>
        <w:keepLines w:val="0"/>
        <w:pageBreakBefore w:val="0"/>
        <w:widowControl w:val="0"/>
        <w:numPr>
          <w:ilvl w:val="0"/>
          <w:numId w:val="2"/>
        </w:numPr>
        <w:kinsoku/>
        <w:wordWrap/>
        <w:overflowPunct/>
        <w:topLinePunct w:val="0"/>
        <w:autoSpaceDE/>
        <w:autoSpaceDN/>
        <w:bidi w:val="0"/>
        <w:adjustRightInd/>
        <w:snapToGrid/>
        <w:spacing w:before="30" w:after="30" w:line="360" w:lineRule="auto"/>
        <w:ind w:firstLine="560" w:firstLineChars="200"/>
        <w:textAlignment w:val="auto"/>
        <w:rPr>
          <w:rFonts w:hint="eastAsia"/>
          <w:color w:val="auto"/>
          <w:kern w:val="0"/>
          <w:lang w:val="en-US" w:eastAsia="zh-CN"/>
        </w:rPr>
      </w:pPr>
      <w:bookmarkStart w:id="33" w:name="_Toc18317"/>
      <w:bookmarkStart w:id="34" w:name="_Toc20192"/>
      <w:r>
        <w:rPr>
          <w:rFonts w:hint="eastAsia"/>
          <w:color w:val="auto"/>
          <w:kern w:val="0"/>
          <w:lang w:val="en-US" w:eastAsia="zh-CN"/>
        </w:rPr>
        <w:t>历史文献及周边考古成果调查</w:t>
      </w:r>
      <w:bookmarkEnd w:id="30"/>
      <w:bookmarkEnd w:id="31"/>
      <w:bookmarkEnd w:id="33"/>
      <w:bookmarkEnd w:id="34"/>
    </w:p>
    <w:p>
      <w:pPr>
        <w:keepNext w:val="0"/>
        <w:keepLines w:val="0"/>
        <w:pageBreakBefore w:val="0"/>
        <w:widowControl w:val="0"/>
        <w:kinsoku/>
        <w:wordWrap/>
        <w:overflowPunct/>
        <w:topLinePunct w:val="0"/>
        <w:autoSpaceDE/>
        <w:autoSpaceDN/>
        <w:bidi w:val="0"/>
        <w:adjustRightInd/>
        <w:snapToGrid/>
        <w:spacing w:line="450" w:lineRule="exact"/>
        <w:ind w:left="0" w:firstLine="480" w:firstLineChars="200"/>
        <w:textAlignment w:val="auto"/>
        <w:rPr>
          <w:rFonts w:hint="default" w:ascii="宋体" w:hAnsi="宋体" w:eastAsia="宋体" w:cs="宋体"/>
          <w:sz w:val="24"/>
          <w:szCs w:val="24"/>
          <w:lang w:val="en-US"/>
        </w:rPr>
      </w:pPr>
      <w:bookmarkStart w:id="35" w:name="_Toc14576"/>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《广州市文物</w:t>
      </w:r>
      <w:r>
        <w:rPr>
          <w:rFonts w:hint="eastAsia" w:ascii="宋体" w:hAnsi="宋体" w:eastAsia="宋体" w:cs="宋体"/>
          <w:sz w:val="24"/>
          <w:szCs w:val="24"/>
          <w:lang w:val="en-US" w:eastAsia="zh-CN"/>
        </w:rPr>
        <w:t>普查汇编·增城区卷》记载，距离地块较近的文物资源主要有洪圣庙、垂昆公祠、汝楫祖祠 、渭征公祠、诒谋堂、崔太师祠。</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default"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4310" cy="3067685"/>
            <wp:effectExtent l="0" t="0" r="2540" b="18415"/>
            <wp:docPr id="6" name="图片 6" descr="地块周边文物资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块周边文物资源分布图"/>
                    <pic:cNvPicPr>
                      <a:picLocks noChangeAspect="1"/>
                    </pic:cNvPicPr>
                  </pic:nvPicPr>
                  <pic:blipFill>
                    <a:blip r:embed="rId12"/>
                    <a:srcRect/>
                    <a:stretch>
                      <a:fillRect/>
                    </a:stretch>
                  </pic:blipFill>
                  <pic:spPr>
                    <a:xfrm>
                      <a:off x="0" y="0"/>
                      <a:ext cx="5274310" cy="3067685"/>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地块周边文物资源分布图（黄点为项目位置）</w:t>
      </w:r>
    </w:p>
    <w:p>
      <w:pPr>
        <w:keepNext w:val="0"/>
        <w:keepLines w:val="0"/>
        <w:pageBreakBefore w:val="0"/>
        <w:widowControl w:val="0"/>
        <w:tabs>
          <w:tab w:val="left" w:pos="2880"/>
        </w:tabs>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洪圣庙</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大公街。始建于明，清嘉庆十年（1805）、道光四年（1824）、同治十一年（1872）和1999年有维修。坐西朝东，中路建筑三间两进，右侧保留有衬祠，总面阔15.05米，总进深16.4米，建筑占地246.82平方米。中路建筑为人字封火山墙，灰塑脊，碌灰筒瓦，青砖石脚墙，阶砖铺地。</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垂昆公祠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乌石小学内。建于清光绪辛巳年（1881）。坐西朝东，三间三进，总面阔12米，总进深27.8米，建筑占地333.6平方米。人字封火山墙，灰塑博古脊，碌灰筒瓦，青砖石脚，红阶砖铺地。门前旷地宽阔，旷地上建有花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祠的左侧隔青云巷有一间书房厅，其造形略似古之“官船”，故当地人称其为“船厅”。面阔一间4.4米，进深三间14.3米，建筑占地62.92平方米。船厅高两层，船头较高，硬山顶，锅耳封火山墙，灰塑博古脊。船身稍矮，为八架卷棚顶。二楼原施木板阁，因木板腐朽。现改为钢筋水泥楼板。</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汝楫祖祠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乌石小学内。建于清代。坐西朝东，三间两进，总面阔12.3米，总进深19.1米，建筑占地234.93平方米。人字封火山墙，灰塑博古脊，碌灰筒瓦，青砖石脚，红阶砖铺地。门前旷地宽阔，旷地上种有凤凰树，设有体育设施。</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渭征公祠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大公街，始建于明，清同治壬申年（1872）重建。坐西朝东，三间三进，总面阔10.4米，总进深24.1米，建筑占地250.64平方米。硬山顶，镬耳封火山墙，灰塑博古脊，碌灰筒瓦，青砖石脚，红阶砖铺地。门前旷地宽阔。</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599815" cy="2444115"/>
            <wp:effectExtent l="0" t="0" r="635" b="13335"/>
            <wp:docPr id="19" name="图片 5" descr="渭征公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渭征公祠"/>
                    <pic:cNvPicPr>
                      <a:picLocks noChangeAspect="1"/>
                    </pic:cNvPicPr>
                  </pic:nvPicPr>
                  <pic:blipFill>
                    <a:blip r:embed="rId13"/>
                    <a:stretch>
                      <a:fillRect/>
                    </a:stretch>
                  </pic:blipFill>
                  <pic:spPr>
                    <a:xfrm>
                      <a:off x="0" y="0"/>
                      <a:ext cx="3599815" cy="2444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渭征公祠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诒谋堂</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头山街。始建于明，清至民国曾有维修。坐西朝东，三间三进，总面阔12米，总进深25.3米，建筑占地303.6平方米。硬山顶，镬耳封火山墙，灰塑龙船脊，碌灰筒瓦，青砖石脚，红阶砖铺地。门前旷地宽阔。</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599815" cy="2489835"/>
            <wp:effectExtent l="0" t="0" r="635" b="5715"/>
            <wp:docPr id="20" name="图片 6" descr="24-诒谋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24-诒谋堂-2"/>
                    <pic:cNvPicPr>
                      <a:picLocks noChangeAspect="1"/>
                    </pic:cNvPicPr>
                  </pic:nvPicPr>
                  <pic:blipFill>
                    <a:blip r:embed="rId14"/>
                    <a:stretch>
                      <a:fillRect/>
                    </a:stretch>
                  </pic:blipFill>
                  <pic:spPr>
                    <a:xfrm>
                      <a:off x="0" y="0"/>
                      <a:ext cx="3599815" cy="2489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诒谋堂</w:t>
      </w:r>
    </w:p>
    <w:p>
      <w:pPr>
        <w:rPr>
          <w:rFonts w:hint="eastAsia" w:ascii="宋体" w:hAnsi="宋体" w:eastAsia="宋体" w:cs="宋体"/>
          <w:b/>
          <w:bCs/>
          <w:sz w:val="24"/>
          <w:szCs w:val="24"/>
        </w:rPr>
      </w:pPr>
      <w:r>
        <w:rPr>
          <w:rFonts w:hint="eastAsia" w:ascii="宋体" w:hAnsi="宋体" w:eastAsia="宋体" w:cs="宋体"/>
          <w:b/>
          <w:bCs/>
          <w:sz w:val="24"/>
          <w:szCs w:val="24"/>
        </w:rPr>
        <w:br w:type="page"/>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 xml:space="preserve">崔太师祠  </w:t>
      </w:r>
      <w:r>
        <w:rPr>
          <w:rFonts w:hint="eastAsia" w:ascii="宋体" w:hAnsi="宋体" w:eastAsia="宋体" w:cs="宋体"/>
          <w:sz w:val="24"/>
          <w:szCs w:val="24"/>
        </w:rPr>
        <w:t>位于中新镇坑背村崔屋自然村，是祀奉南宋名臣、著名学者、右丞相、追封南海郡开国公崔与之塑像的祠堂。始建年代不详，1996年重修，坐北朝南，三间三进，总面阔12.2米，总进深30米，建筑占地366平方米。悬山顶，泥砖砌墙，青砖墙脚，红阶砖铺地。</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t>该祠保存完好，1985年，公布为增城县文物保护单位；2002年7月，公布为广州市文物保护单位。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近年来，我院在该地块附近进行过</w:t>
      </w:r>
      <w:r>
        <w:rPr>
          <w:rFonts w:hint="eastAsia" w:ascii="宋体" w:hAnsi="宋体" w:cs="宋体"/>
          <w:kern w:val="2"/>
          <w:sz w:val="24"/>
          <w:szCs w:val="24"/>
          <w:lang w:val="en-US" w:eastAsia="zh-CN" w:bidi="ar-SA"/>
        </w:rPr>
        <w:t>多宗</w:t>
      </w:r>
      <w:r>
        <w:rPr>
          <w:rFonts w:hint="eastAsia" w:ascii="宋体" w:hAnsi="宋体" w:eastAsia="宋体" w:cs="宋体"/>
          <w:kern w:val="2"/>
          <w:sz w:val="24"/>
          <w:szCs w:val="24"/>
          <w:lang w:val="en-US" w:eastAsia="zh-CN" w:bidi="ar-SA"/>
        </w:rPr>
        <w:t>考古工作：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20</w:t>
      </w:r>
      <w:r>
        <w:rPr>
          <w:rFonts w:hint="eastAsia" w:ascii="宋体" w:hAnsi="宋体" w:cs="宋体"/>
          <w:b w:val="0"/>
          <w:bCs w:val="0"/>
          <w:color w:val="auto"/>
          <w:sz w:val="24"/>
          <w:szCs w:val="24"/>
          <w:lang w:val="en-US" w:eastAsia="zh-CN"/>
        </w:rPr>
        <w:t>18</w:t>
      </w:r>
      <w:r>
        <w:rPr>
          <w:rFonts w:hint="eastAsia" w:ascii="宋体" w:hAnsi="宋体" w:eastAsia="宋体" w:cs="宋体"/>
          <w:b w:val="0"/>
          <w:bCs w:val="0"/>
          <w:color w:val="auto"/>
          <w:sz w:val="24"/>
          <w:szCs w:val="24"/>
          <w:lang w:val="en-US" w:eastAsia="zh-CN"/>
        </w:rPr>
        <w:t>年</w:t>
      </w:r>
      <w:r>
        <w:rPr>
          <w:rFonts w:hint="eastAsia" w:ascii="宋体" w:hAnsi="宋体" w:cs="宋体"/>
          <w:b w:val="0"/>
          <w:bCs w:val="0"/>
          <w:color w:val="auto"/>
          <w:sz w:val="24"/>
          <w:szCs w:val="24"/>
          <w:lang w:val="en-US" w:eastAsia="zh-CN"/>
        </w:rPr>
        <w:t>10-11月</w:t>
      </w:r>
      <w:r>
        <w:rPr>
          <w:rFonts w:hint="eastAsia" w:ascii="宋体" w:hAnsi="宋体" w:eastAsia="宋体" w:cs="宋体"/>
          <w:b w:val="0"/>
          <w:bCs w:val="0"/>
          <w:color w:val="auto"/>
          <w:sz w:val="24"/>
          <w:szCs w:val="24"/>
          <w:lang w:val="en-US" w:eastAsia="zh-CN"/>
        </w:rPr>
        <w:t>，</w:t>
      </w:r>
      <w:r>
        <w:rPr>
          <w:rFonts w:hint="eastAsia" w:ascii="宋体" w:hAnsi="宋体" w:eastAsia="宋体" w:cs="宋体"/>
          <w:color w:val="auto"/>
          <w:sz w:val="24"/>
          <w:szCs w:val="24"/>
          <w:lang w:val="en-US" w:eastAsia="zh-CN"/>
        </w:rPr>
        <w:t>对</w:t>
      </w:r>
      <w:r>
        <w:rPr>
          <w:rFonts w:hint="default" w:ascii="宋体" w:hAnsi="宋体" w:eastAsia="宋体" w:cs="宋体"/>
          <w:color w:val="auto"/>
          <w:kern w:val="2"/>
          <w:sz w:val="24"/>
          <w:szCs w:val="24"/>
          <w:lang w:val="en-US" w:eastAsia="zh-CN" w:bidi="ar-SA"/>
        </w:rPr>
        <w:t>增城区</w:t>
      </w:r>
      <w:r>
        <w:rPr>
          <w:rFonts w:hint="eastAsia" w:ascii="宋体" w:hAnsi="宋体" w:eastAsia="宋体" w:cs="宋体"/>
          <w:color w:val="auto"/>
          <w:kern w:val="2"/>
          <w:sz w:val="24"/>
          <w:szCs w:val="24"/>
          <w:lang w:val="en-US" w:eastAsia="zh-CN" w:bidi="ar-SA"/>
        </w:rPr>
        <w:t>中新镇集丰村64.043亩</w:t>
      </w:r>
      <w:r>
        <w:rPr>
          <w:rFonts w:hint="default" w:ascii="宋体" w:hAnsi="宋体" w:eastAsia="宋体" w:cs="宋体"/>
          <w:color w:val="auto"/>
          <w:kern w:val="2"/>
          <w:sz w:val="24"/>
          <w:szCs w:val="24"/>
          <w:lang w:val="en-US" w:eastAsia="zh-CN" w:bidi="ar-SA"/>
        </w:rPr>
        <w:t>地块</w:t>
      </w:r>
      <w:r>
        <w:rPr>
          <w:rFonts w:hint="eastAsia" w:ascii="宋体" w:hAnsi="宋体" w:eastAsia="宋体" w:cs="宋体"/>
          <w:color w:val="auto"/>
          <w:sz w:val="24"/>
          <w:szCs w:val="24"/>
          <w:lang w:val="en-US" w:eastAsia="zh-CN"/>
        </w:rPr>
        <w:t>进行了考古调查、勘探工作，未发现古代文化遗存及不可移动文物。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2019年9月，对增城区中新镇坑贝村233.503亩地块进行了考古调查工作，未发现古代文化遗存。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2020年4月，对增城区中新镇集丰村、九和村41.306亩地块进行了考古调查工作，未发现古代文化遗存。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2021年7月至8月，对增城区中新镇新新公路东侧61.421亩地块进行了考古调查工作，未发现古代文化遗存。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12月至2022年4月，对增城区西站片区项目进行了文物考古调查区域评估工作，考古调查未发现古代文化遗存，地块内现有5处增城区登记保护文物单位：坑贝官厅、坑贝书房、式谷毛公祠、毛志荣民宅、坑贝炮楼。</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2022年9月、10月，对增城国家级开发区中新园区基础设施配套中新下沉式再生水厂项目进行了考古调查工作，未发现古代文化遗存和不可移动文物。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2022年8月至11月，对广州东部公铁联运枢纽工程（广州国际物流产业枢纽）一期工程项目第一批区域地块进行了考古调查、勘探工作，勘探面积60000平方米，发现清代墓葬5座。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9月至11月，对广州东部公铁联运枢纽工程（广州国际物流产业枢纽）一期工程项目第二批区域地块进行了考古调查、勘探工作，勘探面积426000平方米，本次考古调查在该地块东部发现明墓1座、少量的夔纹陶片及明清陶瓷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2022年8月至11月，对广州东部公铁联运枢纽工程（广州国际物流产业枢纽）一期工程项目第三批区域地块进行了考古调查、勘探工作，勘探面积197000平方米，发现清代墓葬6座。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4"/>
          <w:lang w:val="en-US" w:eastAsia="zh-CN" w:bidi="ar-SA"/>
        </w:rPr>
        <w:t>2022年10月-2023年3月，对</w:t>
      </w:r>
      <w:r>
        <w:rPr>
          <w:rFonts w:hint="eastAsia" w:ascii="宋体" w:hAnsi="宋体" w:cs="宋体"/>
          <w:color w:val="auto"/>
          <w:kern w:val="2"/>
          <w:sz w:val="24"/>
          <w:szCs w:val="24"/>
          <w:highlight w:val="none"/>
          <w:lang w:val="en-US" w:eastAsia="zh-CN" w:bidi="zh-CN"/>
        </w:rPr>
        <w:t>增城区中新镇广汕公路南侧120.721亩地块</w:t>
      </w:r>
      <w:r>
        <w:rPr>
          <w:rFonts w:hint="eastAsia" w:ascii="宋体" w:hAnsi="宋体" w:eastAsia="宋体" w:cs="宋体"/>
          <w:color w:val="auto"/>
          <w:kern w:val="2"/>
          <w:sz w:val="24"/>
          <w:szCs w:val="24"/>
          <w:lang w:val="en-US" w:eastAsia="zh-CN" w:bidi="ar-SA"/>
        </w:rPr>
        <w:t>进行了考古调查、勘探工作，勘探面积8000平方米，</w:t>
      </w:r>
      <w:r>
        <w:rPr>
          <w:rFonts w:hint="eastAsia" w:ascii="宋体" w:hAnsi="宋体" w:cs="宋体"/>
          <w:color w:val="auto"/>
          <w:sz w:val="24"/>
          <w:szCs w:val="24"/>
          <w:lang w:val="en-US" w:eastAsia="zh-CN"/>
        </w:rPr>
        <w:t>调查时发现清代</w:t>
      </w:r>
      <w:r>
        <w:rPr>
          <w:rFonts w:hint="eastAsia" w:ascii="宋体" w:hAnsi="宋体" w:cs="宋体"/>
          <w:bCs/>
          <w:color w:val="auto"/>
          <w:kern w:val="0"/>
          <w:sz w:val="24"/>
          <w:szCs w:val="24"/>
          <w:lang w:val="en-US" w:eastAsia="zh-CN"/>
        </w:rPr>
        <w:t>陶罐（残）1件、陶罐残片2片，</w:t>
      </w:r>
      <w:r>
        <w:rPr>
          <w:rFonts w:hint="eastAsia" w:ascii="宋体" w:hAnsi="宋体" w:cs="宋体"/>
          <w:color w:val="auto"/>
          <w:sz w:val="24"/>
          <w:szCs w:val="24"/>
          <w:highlight w:val="none"/>
          <w:lang w:val="en-US" w:eastAsia="zh-CN"/>
        </w:rPr>
        <w:t>勘探未发现其他古代文化遗存。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2023年1月至2月，对</w:t>
      </w:r>
      <w:r>
        <w:rPr>
          <w:rFonts w:hint="eastAsia" w:ascii="宋体" w:hAnsi="宋体" w:eastAsia="宋体" w:cs="宋体"/>
          <w:color w:val="auto"/>
          <w:kern w:val="2"/>
          <w:sz w:val="24"/>
          <w:szCs w:val="24"/>
          <w:highlight w:val="none"/>
          <w:lang w:val="en-US" w:eastAsia="zh-CN" w:bidi="zh-CN"/>
        </w:rPr>
        <w:t>增城区中新镇广汕公路北侧96.226亩地块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2023年2月，对</w:t>
      </w:r>
      <w:r>
        <w:rPr>
          <w:rFonts w:hint="eastAsia" w:ascii="宋体" w:hAnsi="宋体" w:cs="宋体"/>
          <w:color w:val="auto"/>
          <w:kern w:val="2"/>
          <w:sz w:val="24"/>
          <w:szCs w:val="24"/>
          <w:highlight w:val="none"/>
          <w:lang w:val="en-US" w:eastAsia="zh-CN" w:bidi="zh-CN"/>
        </w:rPr>
        <w:t>增城区中新镇广汕公路北侧168.175亩地块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w:t>
      </w: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月</w:t>
      </w: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月，对</w:t>
      </w:r>
      <w:r>
        <w:rPr>
          <w:rFonts w:hint="eastAsia" w:ascii="宋体" w:hAnsi="宋体" w:eastAsia="宋体" w:cs="宋体"/>
          <w:color w:val="auto"/>
          <w:kern w:val="2"/>
          <w:sz w:val="24"/>
          <w:szCs w:val="24"/>
          <w:highlight w:val="none"/>
          <w:lang w:val="en-US" w:eastAsia="zh-CN" w:bidi="zh-CN"/>
        </w:rPr>
        <w:t>增城区</w:t>
      </w:r>
      <w:r>
        <w:rPr>
          <w:rFonts w:hint="eastAsia" w:ascii="宋体" w:hAnsi="宋体" w:cs="宋体"/>
          <w:color w:val="auto"/>
          <w:kern w:val="2"/>
          <w:sz w:val="24"/>
          <w:szCs w:val="24"/>
          <w:highlight w:val="none"/>
          <w:lang w:val="en-US" w:eastAsia="zh-CN" w:bidi="zh-CN"/>
        </w:rPr>
        <w:t>中新镇广汕公路北侧66.186地块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2023年5月-7月，对增城区中新镇新新公路东侧50.001亩地块进行了考古调查工作，</w:t>
      </w:r>
      <w:r>
        <w:rPr>
          <w:rFonts w:hint="eastAsia" w:ascii="宋体" w:hAnsi="宋体" w:eastAsia="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2023年10月-1</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月，对增城区中新镇恒创大道西侧88.5亩地块进行了考古调查勘探工作，完成调查面积59000平方米，勘探面积17700平方米，在地块内未发现古代文化遗存及不可移动文物。</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pPr>
      <w:r>
        <w:drawing>
          <wp:inline distT="0" distB="0" distL="114300" distR="114300">
            <wp:extent cx="5268595" cy="3471545"/>
            <wp:effectExtent l="0" t="0" r="825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8595" cy="347154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default"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地块周边历年考古工作情况（黄点为项目位置）</w:t>
      </w:r>
    </w:p>
    <w:p>
      <w:pPr>
        <w:rPr>
          <w:rFonts w:hint="eastAsia" w:eastAsia="宋体" w:asciiTheme="majorHAnsi" w:hAnsiTheme="majorHAnsi" w:cstheme="majorBidi"/>
          <w:b w:val="0"/>
          <w:bCs/>
          <w:kern w:val="28"/>
          <w:sz w:val="28"/>
          <w:szCs w:val="32"/>
          <w:lang w:val="en-US" w:eastAsia="zh-CN" w:bidi="ar-SA"/>
        </w:rPr>
      </w:pPr>
      <w:bookmarkStart w:id="36" w:name="_Toc20122"/>
      <w:r>
        <w:rPr>
          <w:rFonts w:hint="eastAsia" w:eastAsia="宋体" w:asciiTheme="majorHAnsi" w:hAnsiTheme="majorHAnsi" w:cstheme="majorBidi"/>
          <w:b w:val="0"/>
          <w:bCs/>
          <w:kern w:val="28"/>
          <w:sz w:val="28"/>
          <w:szCs w:val="32"/>
          <w:lang w:val="en-US" w:eastAsia="zh-CN" w:bidi="ar-SA"/>
        </w:rPr>
        <w:br w:type="page"/>
      </w:r>
    </w:p>
    <w:p>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eastAsia="宋体" w:asciiTheme="majorHAnsi" w:hAnsiTheme="majorHAnsi" w:cstheme="majorBidi"/>
          <w:b w:val="0"/>
          <w:bCs/>
          <w:kern w:val="28"/>
          <w:sz w:val="28"/>
          <w:szCs w:val="32"/>
          <w:lang w:val="en-US" w:eastAsia="zh-CN" w:bidi="ar-SA"/>
        </w:rPr>
      </w:pPr>
      <w:r>
        <w:rPr>
          <w:rFonts w:hint="eastAsia" w:eastAsia="宋体" w:asciiTheme="majorHAnsi" w:hAnsiTheme="majorHAnsi" w:cstheme="majorBidi"/>
          <w:b w:val="0"/>
          <w:bCs/>
          <w:kern w:val="28"/>
          <w:sz w:val="28"/>
          <w:szCs w:val="32"/>
          <w:lang w:val="en-US" w:eastAsia="zh-CN" w:bidi="ar-SA"/>
        </w:rPr>
        <w:t>（三）现场</w:t>
      </w:r>
      <w:bookmarkEnd w:id="32"/>
      <w:r>
        <w:rPr>
          <w:rFonts w:hint="eastAsia" w:eastAsia="宋体" w:asciiTheme="majorHAnsi" w:hAnsiTheme="majorHAnsi" w:cstheme="majorBidi"/>
          <w:b w:val="0"/>
          <w:bCs/>
          <w:kern w:val="28"/>
          <w:sz w:val="28"/>
          <w:szCs w:val="32"/>
          <w:lang w:val="en-US" w:eastAsia="zh-CN" w:bidi="ar-SA"/>
        </w:rPr>
        <w:t>踏查</w:t>
      </w:r>
      <w:bookmarkEnd w:id="35"/>
      <w:bookmarkEnd w:id="36"/>
    </w:p>
    <w:p>
      <w:pPr>
        <w:spacing w:line="360" w:lineRule="auto"/>
        <w:ind w:firstLine="480" w:firstLineChars="200"/>
        <w:rPr>
          <w:rFonts w:hint="eastAsia" w:ascii="宋体" w:hAnsi="宋体" w:eastAsia="宋体" w:cs="宋体"/>
          <w:sz w:val="24"/>
          <w:szCs w:val="24"/>
          <w:lang w:val="zh-CN" w:eastAsia="zh-CN"/>
        </w:rPr>
      </w:pPr>
      <w:bookmarkStart w:id="37" w:name="_Hlk43449913"/>
      <w:r>
        <w:rPr>
          <w:rFonts w:hint="eastAsia" w:ascii="宋体" w:hAnsi="宋体" w:eastAsia="宋体" w:cs="宋体"/>
          <w:sz w:val="24"/>
          <w:szCs w:val="24"/>
          <w:lang w:val="en-US" w:eastAsia="zh-CN"/>
        </w:rPr>
        <w:t>现场调</w:t>
      </w:r>
      <w:r>
        <w:rPr>
          <w:rFonts w:hint="eastAsia" w:ascii="宋体" w:hAnsi="宋体" w:eastAsia="宋体" w:cs="宋体"/>
          <w:sz w:val="24"/>
          <w:szCs w:val="24"/>
        </w:rPr>
        <w:t>查覆盖</w:t>
      </w:r>
      <w:r>
        <w:rPr>
          <w:rFonts w:hint="eastAsia" w:ascii="宋体" w:hAnsi="宋体" w:cs="宋体"/>
          <w:sz w:val="24"/>
          <w:szCs w:val="24"/>
          <w:lang w:val="en-US" w:eastAsia="zh-CN"/>
        </w:rPr>
        <w:t>整个地块范围</w:t>
      </w:r>
      <w:r>
        <w:rPr>
          <w:rFonts w:hint="eastAsia" w:ascii="宋体" w:hAnsi="宋体" w:eastAsia="宋体" w:cs="宋体"/>
          <w:sz w:val="24"/>
          <w:szCs w:val="24"/>
          <w:lang w:val="en-US" w:eastAsia="zh-CN"/>
        </w:rPr>
        <w:t>，</w:t>
      </w:r>
      <w:r>
        <w:rPr>
          <w:rFonts w:hint="eastAsia" w:ascii="宋体" w:hAnsi="宋体" w:eastAsia="宋体" w:cs="宋体"/>
          <w:bCs/>
          <w:kern w:val="0"/>
          <w:sz w:val="24"/>
          <w:szCs w:val="24"/>
          <w:lang w:val="en-US" w:eastAsia="zh-CN" w:bidi="ar-SA"/>
        </w:rPr>
        <w:t>考古调查采取“拉网式”调查法，</w:t>
      </w:r>
      <w:r>
        <w:rPr>
          <w:rFonts w:hint="eastAsia" w:ascii="宋体" w:hAnsi="宋体" w:eastAsia="宋体" w:cs="宋体"/>
          <w:kern w:val="0"/>
          <w:sz w:val="24"/>
          <w:szCs w:val="24"/>
          <w:lang w:val="en-US" w:eastAsia="zh-CN" w:bidi="ar-SA"/>
        </w:rPr>
        <w:t>小组由</w:t>
      </w:r>
      <w:r>
        <w:rPr>
          <w:rFonts w:hint="eastAsia" w:ascii="宋体" w:hAnsi="宋体" w:cs="宋体"/>
          <w:kern w:val="0"/>
          <w:sz w:val="24"/>
          <w:szCs w:val="24"/>
          <w:lang w:val="en-US" w:eastAsia="zh-CN" w:bidi="ar-SA"/>
        </w:rPr>
        <w:t>张百祥、黄浩、朱霖、杜宏洲</w:t>
      </w:r>
      <w:r>
        <w:rPr>
          <w:rFonts w:hint="eastAsia" w:ascii="宋体" w:hAnsi="宋体" w:cs="宋体"/>
          <w:sz w:val="24"/>
          <w:szCs w:val="24"/>
          <w:lang w:val="en-US" w:eastAsia="zh-CN"/>
        </w:rPr>
        <w:t>等人组成，对</w:t>
      </w:r>
      <w:r>
        <w:rPr>
          <w:rFonts w:hint="eastAsia" w:ascii="宋体" w:hAnsi="宋体" w:cs="宋体"/>
          <w:sz w:val="24"/>
          <w:szCs w:val="24"/>
          <w:lang w:val="zh-CN" w:eastAsia="zh-CN"/>
        </w:rPr>
        <w:t>所有可</w:t>
      </w:r>
      <w:r>
        <w:rPr>
          <w:rFonts w:hint="eastAsia" w:ascii="宋体" w:hAnsi="宋体" w:eastAsia="宋体" w:cs="宋体"/>
          <w:sz w:val="24"/>
          <w:szCs w:val="24"/>
          <w:lang w:val="zh-CN" w:eastAsia="zh-CN"/>
        </w:rPr>
        <w:t>能埋藏古代遗存的区域进行徒步踏查，采集地表文化遗物，并尽可能地利用断崖剖面观察文化堆积、掌握更为准确的信息。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经调查，增城区中新科技园区74.181亩地块位于广州市增城区中新镇，南邻恒创工业园，东距乌石南一路约一公里。地块整体地势平坦，均为平地</w:t>
      </w:r>
      <w:r>
        <w:rPr>
          <w:rFonts w:hint="eastAsia" w:ascii="宋体" w:hAnsi="宋体" w:eastAsia="宋体" w:cs="宋体"/>
          <w:sz w:val="24"/>
          <w:szCs w:val="24"/>
          <w:lang w:val="en-US" w:eastAsia="zh-CN"/>
        </w:rPr>
        <w:t>。除东南部外，其余区域现已填垫有较厚垫土。</w:t>
      </w:r>
      <w:r>
        <w:rPr>
          <w:rFonts w:hint="eastAsia" w:ascii="宋体" w:hAnsi="宋体" w:cs="宋体"/>
          <w:color w:val="auto"/>
          <w:kern w:val="2"/>
          <w:sz w:val="24"/>
          <w:szCs w:val="24"/>
          <w:lang w:val="en-US" w:eastAsia="zh-CN" w:bidi="ar-SA"/>
        </w:rPr>
        <w:t>地块</w:t>
      </w:r>
      <w:r>
        <w:rPr>
          <w:rFonts w:hint="eastAsia" w:ascii="宋体" w:hAnsi="宋体" w:eastAsia="宋体" w:cs="宋体"/>
          <w:kern w:val="2"/>
          <w:sz w:val="24"/>
          <w:szCs w:val="24"/>
          <w:u w:val="none"/>
          <w:vertAlign w:val="baseline"/>
          <w:lang w:val="en-US" w:eastAsia="zh-CN" w:bidi="ar-SA"/>
        </w:rPr>
        <w:t>东南部为</w:t>
      </w:r>
      <w:r>
        <w:rPr>
          <w:rFonts w:hint="eastAsia" w:ascii="宋体" w:hAnsi="宋体" w:eastAsia="宋体" w:cs="宋体"/>
          <w:sz w:val="24"/>
          <w:szCs w:val="24"/>
          <w:lang w:val="en-US" w:eastAsia="zh-CN"/>
        </w:rPr>
        <w:t>缓坡地带，为植被覆盖，地势低平</w:t>
      </w:r>
      <w:r>
        <w:rPr>
          <w:rFonts w:hint="eastAsia" w:ascii="宋体" w:hAnsi="宋体" w:cs="宋体"/>
          <w:sz w:val="24"/>
          <w:szCs w:val="24"/>
          <w:lang w:val="en-US" w:eastAsia="zh-CN"/>
        </w:rPr>
        <w:t>，只有东南部具备试探条件。</w:t>
      </w:r>
    </w:p>
    <w:p>
      <w:pPr>
        <w:spacing w:line="360" w:lineRule="auto"/>
        <w:ind w:firstLine="480" w:firstLineChars="200"/>
        <w:rPr>
          <w:rFonts w:hint="eastAsia" w:ascii="黑体" w:hAnsi="黑体" w:eastAsia="黑体" w:cs="黑体"/>
          <w:kern w:val="0"/>
          <w:sz w:val="24"/>
          <w:szCs w:val="24"/>
          <w:lang w:val="en-US" w:eastAsia="zh-CN" w:bidi="ar"/>
        </w:rPr>
      </w:pPr>
      <w:r>
        <w:rPr>
          <w:rFonts w:hint="eastAsia" w:ascii="宋体" w:hAnsi="宋体" w:cs="宋体"/>
          <w:sz w:val="24"/>
          <w:szCs w:val="24"/>
          <w:lang w:val="en-US" w:eastAsia="zh-CN"/>
        </w:rPr>
        <w:t>调查在地块范围内未发现古代文化遗存和不可移动文物</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11" name="图片 11" descr="西--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西--东 (1)"/>
                    <pic:cNvPicPr>
                      <a:picLocks noChangeAspect="1"/>
                    </pic:cNvPicPr>
                  </pic:nvPicPr>
                  <pic:blipFill>
                    <a:blip r:embed="rId16"/>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工作人员现场查看地块红线范围（西-东）</w:t>
      </w: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12" name="图片 12" descr="北--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北--南 (1)"/>
                    <pic:cNvPicPr>
                      <a:picLocks noChangeAspect="1"/>
                    </pic:cNvPicPr>
                  </pic:nvPicPr>
                  <pic:blipFill>
                    <a:blip r:embed="rId17"/>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工作人员现场踏查（北-南）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32400" cy="2943225"/>
            <wp:effectExtent l="0" t="0" r="6350" b="9525"/>
            <wp:docPr id="13" name="图片 13" descr="西--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东 (1)"/>
                    <pic:cNvPicPr>
                      <a:picLocks noChangeAspect="1"/>
                    </pic:cNvPicPr>
                  </pic:nvPicPr>
                  <pic:blipFill>
                    <a:blip r:embed="rId18"/>
                    <a:stretch>
                      <a:fillRect/>
                    </a:stretch>
                  </pic:blipFill>
                  <pic:spPr>
                    <a:xfrm>
                      <a:off x="0" y="0"/>
                      <a:ext cx="5232400" cy="2943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地块全景航拍（上为东）</w:t>
      </w:r>
    </w:p>
    <w:p>
      <w:pPr>
        <w:pStyle w:val="2"/>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14" name="图片 14" descr="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北--南 (2)"/>
                    <pic:cNvPicPr>
                      <a:picLocks noChangeAspect="1"/>
                    </pic:cNvPicPr>
                  </pic:nvPicPr>
                  <pic:blipFill>
                    <a:blip r:embed="rId19"/>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地块中部现状（北-南）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lang w:val="en-US" w:eastAsia="zh-CN"/>
        </w:rPr>
        <w:drawing>
          <wp:inline distT="0" distB="0" distL="114300" distR="114300">
            <wp:extent cx="5257800" cy="3505200"/>
            <wp:effectExtent l="0" t="0" r="0" b="0"/>
            <wp:docPr id="15" name="图片 15" descr="北--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北--南 (4)"/>
                    <pic:cNvPicPr>
                      <a:picLocks noChangeAspect="1"/>
                    </pic:cNvPicPr>
                  </pic:nvPicPr>
                  <pic:blipFill>
                    <a:blip r:embed="rId20"/>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地块中部现状（北-南）</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18" name="图片 18" descr="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北--南"/>
                    <pic:cNvPicPr>
                      <a:picLocks noChangeAspect="1"/>
                    </pic:cNvPicPr>
                  </pic:nvPicPr>
                  <pic:blipFill>
                    <a:blip r:embed="rId21"/>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地块东部现状（北-南）</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3" name="图片 23" descr="地块东部（北--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块东部（北--南） (1)"/>
                    <pic:cNvPicPr>
                      <a:picLocks noChangeAspect="1"/>
                    </pic:cNvPicPr>
                  </pic:nvPicPr>
                  <pic:blipFill>
                    <a:blip r:embed="rId22"/>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地块东部现状（北-南）</w:t>
      </w:r>
    </w:p>
    <w:p>
      <w:pPr>
        <w:pStyle w:val="2"/>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pStyle w:val="4"/>
        <w:ind w:left="0" w:leftChars="0" w:firstLine="0" w:firstLineChars="0"/>
        <w:rPr>
          <w:rFonts w:hint="eastAsia" w:ascii="黑体" w:hAnsi="黑体" w:eastAsia="黑体" w:cs="黑体"/>
          <w:kern w:val="0"/>
          <w:sz w:val="21"/>
          <w:szCs w:val="21"/>
          <w:lang w:val="en-US" w:eastAsia="zh-CN" w:bidi="ar"/>
        </w:rPr>
      </w:pPr>
    </w:p>
    <w:p>
      <w:pPr>
        <w:pStyle w:val="4"/>
        <w:ind w:left="0" w:leftChars="0" w:firstLine="0" w:firstLineChars="0"/>
        <w:rPr>
          <w:rFonts w:hint="eastAsia" w:ascii="黑体" w:hAnsi="黑体" w:eastAsia="黑体" w:cs="黑体"/>
          <w:kern w:val="0"/>
          <w:sz w:val="21"/>
          <w:szCs w:val="21"/>
          <w:lang w:val="en-US" w:eastAsia="zh-CN" w:bidi="ar"/>
        </w:rPr>
      </w:pPr>
    </w:p>
    <w:p>
      <w:pPr>
        <w:pStyle w:val="4"/>
        <w:ind w:left="0" w:leftChars="0" w:firstLine="0" w:firstLineChars="0"/>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4" name="图片 24" descr="地块东部（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块东部（东--西） (2)"/>
                    <pic:cNvPicPr>
                      <a:picLocks noChangeAspect="1"/>
                    </pic:cNvPicPr>
                  </pic:nvPicPr>
                  <pic:blipFill>
                    <a:blip r:embed="rId23"/>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5" name="图片 25" descr="地块东部（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地块东部（南--北） (2)"/>
                    <pic:cNvPicPr>
                      <a:picLocks noChangeAspect="1"/>
                    </pic:cNvPicPr>
                  </pic:nvPicPr>
                  <pic:blipFill>
                    <a:blip r:embed="rId24"/>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地块东部现状（南-北）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ascii="黑体" w:hAnsi="黑体" w:eastAsia="黑体" w:cs="黑体"/>
          <w:kern w:val="0"/>
          <w:sz w:val="21"/>
          <w:szCs w:val="21"/>
          <w:lang w:val="en-US" w:eastAsia="zh-CN" w:bidi="ar"/>
        </w:rPr>
      </w:pPr>
    </w:p>
    <w:p>
      <w:pPr>
        <w:pStyle w:val="4"/>
        <w:ind w:left="0" w:leftChars="0" w:firstLine="0" w:firstLineChars="0"/>
        <w:rPr>
          <w:rFonts w:hint="eastAsia"/>
          <w:lang w:val="en-US" w:eastAsia="zh-CN"/>
        </w:rPr>
      </w:pPr>
    </w:p>
    <w:p>
      <w:pPr>
        <w:pStyle w:val="4"/>
        <w:ind w:left="0" w:leftChars="0" w:firstLine="0" w:firstLineChars="0"/>
        <w:rPr>
          <w:rFonts w:hint="eastAsia"/>
          <w:lang w:val="en-US" w:eastAsia="zh-CN"/>
        </w:rPr>
      </w:pPr>
    </w:p>
    <w:p>
      <w:pPr>
        <w:pStyle w:val="4"/>
        <w:ind w:left="0" w:leftChars="0" w:firstLine="0" w:firstLineChars="0"/>
        <w:rPr>
          <w:rFonts w:hint="eastAsia"/>
          <w:lang w:val="en-US" w:eastAsia="zh-CN"/>
        </w:rPr>
      </w:pPr>
    </w:p>
    <w:p>
      <w:pPr>
        <w:pStyle w:val="4"/>
        <w:ind w:left="0" w:leftChars="0" w:firstLine="0" w:firstLineChars="0"/>
        <w:rPr>
          <w:rFonts w:hint="eastAsia"/>
          <w:lang w:val="en-US" w:eastAsia="zh-CN"/>
        </w:rPr>
      </w:pPr>
      <w:r>
        <w:rPr>
          <w:rFonts w:hint="eastAsia"/>
          <w:lang w:val="en-US" w:eastAsia="zh-CN"/>
        </w:rPr>
        <w:drawing>
          <wp:inline distT="0" distB="0" distL="114300" distR="114300">
            <wp:extent cx="5266690" cy="3511550"/>
            <wp:effectExtent l="0" t="0" r="10160" b="12700"/>
            <wp:docPr id="26" name="图片 26" descr="地块东部（西--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地块东部（西--东） (3)"/>
                    <pic:cNvPicPr>
                      <a:picLocks noChangeAspect="1"/>
                    </pic:cNvPicPr>
                  </pic:nvPicPr>
                  <pic:blipFill>
                    <a:blip r:embed="rId25"/>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地块东部现状（西-东）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7" name="图片 27" descr="地块东南部（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地块东南部（北--南） (2)"/>
                    <pic:cNvPicPr>
                      <a:picLocks noChangeAspect="1"/>
                    </pic:cNvPicPr>
                  </pic:nvPicPr>
                  <pic:blipFill>
                    <a:blip r:embed="rId26"/>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地块东南部现状（北-南）</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8" name="图片 28" descr="地块东南部（东--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地块东南部（东--西） (1)"/>
                    <pic:cNvPicPr>
                      <a:picLocks noChangeAspect="1"/>
                    </pic:cNvPicPr>
                  </pic:nvPicPr>
                  <pic:blipFill>
                    <a:blip r:embed="rId27"/>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9" name="图片 29" descr="地块东南部（东--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地块东南部（东--西） (3)"/>
                    <pic:cNvPicPr>
                      <a:picLocks noChangeAspect="1"/>
                    </pic:cNvPicPr>
                  </pic:nvPicPr>
                  <pic:blipFill>
                    <a:blip r:embed="rId28"/>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地块南部现状（东-西）</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30" name="图片 30" descr="地块东南部（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地块东南部（南--北） (2)"/>
                    <pic:cNvPicPr>
                      <a:picLocks noChangeAspect="1"/>
                    </pic:cNvPicPr>
                  </pic:nvPicPr>
                  <pic:blipFill>
                    <a:blip r:embed="rId29"/>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地块东南部现状（南-北）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32" name="图片 32" descr="地块东南部（南--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地块东南部（南--北） (3)"/>
                    <pic:cNvPicPr>
                      <a:picLocks noChangeAspect="1"/>
                    </pic:cNvPicPr>
                  </pic:nvPicPr>
                  <pic:blipFill>
                    <a:blip r:embed="rId30"/>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地块东南部现状（南-北）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33" name="图片 33" descr="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东--西 (2)"/>
                    <pic:cNvPicPr>
                      <a:picLocks noChangeAspect="1"/>
                    </pic:cNvPicPr>
                  </pic:nvPicPr>
                  <pic:blipFill>
                    <a:blip r:embed="rId31"/>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w:t>
      </w:r>
      <w:r>
        <w:rPr>
          <w:rFonts w:hint="eastAsia" w:ascii="黑体" w:hAnsi="黑体" w:cs="黑体"/>
          <w:kern w:val="0"/>
          <w:sz w:val="21"/>
          <w:szCs w:val="21"/>
          <w:lang w:val="en-US" w:eastAsia="zh-CN" w:bidi="ar"/>
        </w:rPr>
        <w:t>南</w:t>
      </w:r>
      <w:r>
        <w:rPr>
          <w:rFonts w:hint="eastAsia" w:ascii="黑体" w:hAnsi="黑体" w:eastAsia="黑体" w:cs="黑体"/>
          <w:kern w:val="0"/>
          <w:sz w:val="21"/>
          <w:szCs w:val="21"/>
          <w:lang w:val="en-US" w:eastAsia="zh-CN" w:bidi="ar"/>
        </w:rPr>
        <w:t>部现状（</w:t>
      </w:r>
      <w:r>
        <w:rPr>
          <w:rFonts w:hint="eastAsia" w:ascii="黑体" w:hAnsi="黑体" w:cs="黑体"/>
          <w:kern w:val="0"/>
          <w:sz w:val="21"/>
          <w:szCs w:val="21"/>
          <w:lang w:val="en-US" w:eastAsia="zh-CN" w:bidi="ar"/>
        </w:rPr>
        <w:t>东-西</w:t>
      </w:r>
      <w:r>
        <w:rPr>
          <w:rFonts w:hint="eastAsia" w:ascii="黑体" w:hAnsi="黑体" w:eastAsia="黑体" w:cs="黑体"/>
          <w:kern w:val="0"/>
          <w:sz w:val="21"/>
          <w:szCs w:val="21"/>
          <w:lang w:val="en-US" w:eastAsia="zh-CN" w:bidi="ar"/>
        </w:rPr>
        <w:t>）</w:t>
      </w:r>
    </w:p>
    <w:bookmarkEnd w:id="37"/>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bookmarkStart w:id="38" w:name="_Toc634"/>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34" name="图片 34" descr="南--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南--北 (1)"/>
                    <pic:cNvPicPr>
                      <a:picLocks noChangeAspect="1"/>
                    </pic:cNvPicPr>
                  </pic:nvPicPr>
                  <pic:blipFill>
                    <a:blip r:embed="rId32"/>
                    <a:stretch>
                      <a:fillRect/>
                    </a:stretch>
                  </pic:blipFill>
                  <pic:spPr>
                    <a:xfrm>
                      <a:off x="0" y="0"/>
                      <a:ext cx="5257800" cy="350520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w:t>
      </w:r>
      <w:r>
        <w:rPr>
          <w:rFonts w:hint="eastAsia" w:ascii="黑体" w:hAnsi="黑体" w:cs="黑体"/>
          <w:kern w:val="0"/>
          <w:sz w:val="21"/>
          <w:szCs w:val="21"/>
          <w:lang w:val="en-US" w:eastAsia="zh-CN" w:bidi="ar"/>
        </w:rPr>
        <w:t>北</w:t>
      </w:r>
      <w:r>
        <w:rPr>
          <w:rFonts w:hint="eastAsia" w:ascii="黑体" w:hAnsi="黑体" w:eastAsia="黑体" w:cs="黑体"/>
          <w:kern w:val="0"/>
          <w:sz w:val="21"/>
          <w:szCs w:val="21"/>
          <w:lang w:val="en-US" w:eastAsia="zh-CN" w:bidi="ar"/>
        </w:rPr>
        <w:t>部现状（南-北）</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Cambria" w:hAnsi="Cambria" w:eastAsia="宋体" w:cs="Times New Roman"/>
          <w:bCs/>
          <w:kern w:val="28"/>
          <w:sz w:val="28"/>
          <w:szCs w:val="32"/>
          <w:lang w:val="en-US" w:eastAsia="zh-CN" w:bidi="ar-SA"/>
        </w:rPr>
      </w:pPr>
      <w:bookmarkStart w:id="39" w:name="_Toc347"/>
      <w:bookmarkStart w:id="40" w:name="_Toc3957"/>
      <w:bookmarkStart w:id="41" w:name="_Toc18847"/>
      <w:bookmarkStart w:id="42" w:name="_Toc11061"/>
      <w:r>
        <w:rPr>
          <w:rFonts w:hint="eastAsia" w:ascii="Cambria" w:hAnsi="Cambria" w:eastAsia="宋体" w:cs="Times New Roman"/>
          <w:bCs/>
          <w:kern w:val="28"/>
          <w:sz w:val="28"/>
          <w:szCs w:val="32"/>
          <w:lang w:val="en-US" w:eastAsia="zh-CN" w:bidi="ar-SA"/>
        </w:rPr>
        <w:br w:type="page"/>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Cambria" w:hAnsi="Cambria" w:eastAsia="宋体" w:cs="Times New Roman"/>
          <w:bCs/>
          <w:kern w:val="28"/>
          <w:sz w:val="28"/>
          <w:szCs w:val="32"/>
          <w:lang w:val="en-US" w:eastAsia="zh-CN" w:bidi="ar-SA"/>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Cambria" w:hAnsi="Cambria" w:eastAsia="宋体" w:cs="Times New Roman"/>
          <w:bCs/>
          <w:kern w:val="28"/>
          <w:sz w:val="28"/>
          <w:szCs w:val="32"/>
          <w:lang w:val="en-US" w:eastAsia="zh-CN" w:bidi="ar-SA"/>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r>
        <w:rPr>
          <w:rFonts w:hint="eastAsia" w:ascii="黑体" w:hAnsi="黑体" w:cs="黑体"/>
          <w:kern w:val="0"/>
          <w:sz w:val="21"/>
          <w:szCs w:val="21"/>
          <w:lang w:val="en-US" w:eastAsia="zh-CN" w:bidi="ar"/>
        </w:rPr>
        <w:drawing>
          <wp:inline distT="0" distB="0" distL="114300" distR="114300">
            <wp:extent cx="5257800" cy="3505200"/>
            <wp:effectExtent l="0" t="0" r="0" b="0"/>
            <wp:docPr id="35" name="图片 35" descr="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南--北 (2)"/>
                    <pic:cNvPicPr>
                      <a:picLocks noChangeAspect="1"/>
                    </pic:cNvPicPr>
                  </pic:nvPicPr>
                  <pic:blipFill>
                    <a:blip r:embed="rId33"/>
                    <a:stretch>
                      <a:fillRect/>
                    </a:stretch>
                  </pic:blipFill>
                  <pic:spPr>
                    <a:xfrm>
                      <a:off x="0" y="0"/>
                      <a:ext cx="5257800" cy="3505200"/>
                    </a:xfrm>
                    <a:prstGeom prst="rect">
                      <a:avLst/>
                    </a:prstGeom>
                  </pic:spPr>
                </pic:pic>
              </a:graphicData>
            </a:graphic>
          </wp:inline>
        </w:drawing>
      </w:r>
      <w:r>
        <w:rPr>
          <w:rFonts w:hint="eastAsia" w:ascii="黑体" w:hAnsi="黑体" w:cs="黑体"/>
          <w:kern w:val="0"/>
          <w:sz w:val="21"/>
          <w:szCs w:val="21"/>
          <w:lang w:val="en-US" w:eastAsia="zh-CN" w:bidi="ar"/>
        </w:rPr>
        <w:t xml:space="preserve">图 </w:t>
      </w:r>
      <w:r>
        <w:rPr>
          <w:rFonts w:hint="eastAsia" w:ascii="黑体" w:hAnsi="黑体" w:cs="黑体"/>
          <w:kern w:val="0"/>
          <w:sz w:val="21"/>
          <w:szCs w:val="21"/>
          <w:lang w:val="en-US" w:eastAsia="zh-CN" w:bidi="ar"/>
        </w:rPr>
        <w:fldChar w:fldCharType="begin"/>
      </w:r>
      <w:r>
        <w:rPr>
          <w:rFonts w:hint="eastAsia" w:ascii="黑体" w:hAnsi="黑体" w:cs="黑体"/>
          <w:kern w:val="0"/>
          <w:sz w:val="21"/>
          <w:szCs w:val="21"/>
          <w:lang w:val="en-US" w:eastAsia="zh-CN" w:bidi="ar"/>
        </w:rPr>
        <w:instrText xml:space="preserve"> SEQ 图 \* ARABIC </w:instrText>
      </w:r>
      <w:r>
        <w:rPr>
          <w:rFonts w:hint="eastAsia" w:ascii="黑体" w:hAnsi="黑体" w:cs="黑体"/>
          <w:kern w:val="0"/>
          <w:sz w:val="21"/>
          <w:szCs w:val="21"/>
          <w:lang w:val="en-US" w:eastAsia="zh-CN" w:bidi="ar"/>
        </w:rPr>
        <w:fldChar w:fldCharType="separate"/>
      </w:r>
      <w:r>
        <w:rPr>
          <w:rFonts w:hint="eastAsia" w:ascii="黑体" w:hAnsi="黑体" w:cs="黑体"/>
          <w:kern w:val="0"/>
          <w:sz w:val="21"/>
          <w:szCs w:val="21"/>
          <w:lang w:val="en-US" w:eastAsia="zh-CN" w:bidi="ar"/>
        </w:rPr>
        <w:t>26</w:t>
      </w:r>
      <w:r>
        <w:rPr>
          <w:rFonts w:hint="eastAsia" w:ascii="黑体" w:hAnsi="黑体" w:cs="黑体"/>
          <w:kern w:val="0"/>
          <w:sz w:val="21"/>
          <w:szCs w:val="21"/>
          <w:lang w:val="en-US" w:eastAsia="zh-CN" w:bidi="ar"/>
        </w:rPr>
        <w:fldChar w:fldCharType="end"/>
      </w:r>
      <w:r>
        <w:rPr>
          <w:rFonts w:hint="eastAsia" w:ascii="黑体" w:hAnsi="黑体" w:cs="黑体"/>
          <w:kern w:val="0"/>
          <w:sz w:val="21"/>
          <w:szCs w:val="21"/>
          <w:lang w:val="en-US" w:eastAsia="zh-CN" w:bidi="ar"/>
        </w:rPr>
        <w:t xml:space="preserve">  地块东北部现状（南-北）</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r>
        <w:rPr>
          <w:rFonts w:hint="eastAsia" w:ascii="黑体" w:hAnsi="黑体" w:cs="黑体"/>
          <w:kern w:val="0"/>
          <w:sz w:val="21"/>
          <w:szCs w:val="21"/>
          <w:lang w:val="en-US" w:eastAsia="zh-CN" w:bidi="ar"/>
        </w:rPr>
        <w:drawing>
          <wp:inline distT="0" distB="0" distL="114300" distR="114300">
            <wp:extent cx="5257800" cy="3505200"/>
            <wp:effectExtent l="0" t="0" r="0" b="0"/>
            <wp:docPr id="36" name="图片 36" descr="西--东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西--东 (9)"/>
                    <pic:cNvPicPr>
                      <a:picLocks noChangeAspect="1"/>
                    </pic:cNvPicPr>
                  </pic:nvPicPr>
                  <pic:blipFill>
                    <a:blip r:embed="rId34"/>
                    <a:stretch>
                      <a:fillRect/>
                    </a:stretch>
                  </pic:blipFill>
                  <pic:spPr>
                    <a:xfrm>
                      <a:off x="0" y="0"/>
                      <a:ext cx="5257800" cy="350520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r>
        <w:rPr>
          <w:rFonts w:hint="eastAsia" w:ascii="黑体" w:hAnsi="黑体" w:cs="黑体"/>
          <w:kern w:val="0"/>
          <w:sz w:val="21"/>
          <w:szCs w:val="21"/>
          <w:lang w:val="en-US" w:eastAsia="zh-CN" w:bidi="ar"/>
        </w:rPr>
        <w:t xml:space="preserve">图 </w:t>
      </w:r>
      <w:r>
        <w:rPr>
          <w:rFonts w:hint="eastAsia" w:ascii="黑体" w:hAnsi="黑体" w:cs="黑体"/>
          <w:kern w:val="0"/>
          <w:sz w:val="21"/>
          <w:szCs w:val="21"/>
          <w:lang w:val="en-US" w:eastAsia="zh-CN" w:bidi="ar"/>
        </w:rPr>
        <w:fldChar w:fldCharType="begin"/>
      </w:r>
      <w:r>
        <w:rPr>
          <w:rFonts w:hint="eastAsia" w:ascii="黑体" w:hAnsi="黑体" w:cs="黑体"/>
          <w:kern w:val="0"/>
          <w:sz w:val="21"/>
          <w:szCs w:val="21"/>
          <w:lang w:val="en-US" w:eastAsia="zh-CN" w:bidi="ar"/>
        </w:rPr>
        <w:instrText xml:space="preserve"> SEQ 图 \* ARABIC </w:instrText>
      </w:r>
      <w:r>
        <w:rPr>
          <w:rFonts w:hint="eastAsia" w:ascii="黑体" w:hAnsi="黑体" w:cs="黑体"/>
          <w:kern w:val="0"/>
          <w:sz w:val="21"/>
          <w:szCs w:val="21"/>
          <w:lang w:val="en-US" w:eastAsia="zh-CN" w:bidi="ar"/>
        </w:rPr>
        <w:fldChar w:fldCharType="separate"/>
      </w:r>
      <w:r>
        <w:rPr>
          <w:rFonts w:hint="eastAsia" w:ascii="黑体" w:hAnsi="黑体" w:cs="黑体"/>
          <w:kern w:val="0"/>
          <w:sz w:val="21"/>
          <w:szCs w:val="21"/>
          <w:lang w:val="en-US" w:eastAsia="zh-CN" w:bidi="ar"/>
        </w:rPr>
        <w:t>27</w:t>
      </w:r>
      <w:r>
        <w:rPr>
          <w:rFonts w:hint="eastAsia" w:ascii="黑体" w:hAnsi="黑体" w:cs="黑体"/>
          <w:kern w:val="0"/>
          <w:sz w:val="21"/>
          <w:szCs w:val="21"/>
          <w:lang w:val="en-US" w:eastAsia="zh-CN" w:bidi="ar"/>
        </w:rPr>
        <w:fldChar w:fldCharType="end"/>
      </w:r>
      <w:r>
        <w:rPr>
          <w:rFonts w:hint="eastAsia" w:ascii="黑体" w:hAnsi="黑体" w:cs="黑体"/>
          <w:kern w:val="0"/>
          <w:sz w:val="21"/>
          <w:szCs w:val="21"/>
          <w:lang w:val="en-US" w:eastAsia="zh-CN" w:bidi="ar"/>
        </w:rPr>
        <w:t xml:space="preserve">  地块东北部现状（西-东）</w:t>
      </w:r>
    </w:p>
    <w:p>
      <w:pPr>
        <w:rPr>
          <w:rFonts w:hint="eastAsia" w:ascii="Cambria" w:hAnsi="Cambria" w:eastAsia="宋体" w:cs="Times New Roman"/>
          <w:bCs/>
          <w:kern w:val="28"/>
          <w:sz w:val="28"/>
          <w:szCs w:val="32"/>
          <w:lang w:val="en-US" w:eastAsia="zh-CN" w:bidi="ar-SA"/>
        </w:rPr>
      </w:pPr>
      <w:r>
        <w:rPr>
          <w:rFonts w:hint="eastAsia" w:ascii="Cambria" w:hAnsi="Cambria" w:eastAsia="宋体" w:cs="Times New Roman"/>
          <w:bCs/>
          <w:kern w:val="28"/>
          <w:sz w:val="28"/>
          <w:szCs w:val="32"/>
          <w:lang w:val="en-US" w:eastAsia="zh-CN" w:bidi="ar-SA"/>
        </w:rPr>
        <w:br w:type="page"/>
      </w:r>
    </w:p>
    <w:p>
      <w:pPr>
        <w:keepNext/>
        <w:keepLines/>
        <w:widowControl w:val="0"/>
        <w:spacing w:before="0" w:beforeLines="0" w:beforeAutospacing="0" w:after="0" w:afterLines="0" w:afterAutospacing="0" w:line="360" w:lineRule="auto"/>
        <w:ind w:firstLine="560" w:firstLineChars="200"/>
        <w:jc w:val="both"/>
        <w:outlineLvl w:val="1"/>
        <w:rPr>
          <w:rFonts w:hint="eastAsia" w:ascii="Cambria" w:hAnsi="Cambria" w:eastAsia="宋体" w:cs="Times New Roman"/>
          <w:bCs/>
          <w:kern w:val="28"/>
          <w:sz w:val="28"/>
          <w:szCs w:val="32"/>
          <w:lang w:val="en-US" w:eastAsia="zh-CN" w:bidi="ar-SA"/>
        </w:rPr>
      </w:pPr>
      <w:bookmarkStart w:id="43" w:name="_Toc24909"/>
      <w:r>
        <w:rPr>
          <w:rFonts w:hint="eastAsia" w:ascii="Cambria" w:hAnsi="Cambria" w:eastAsia="宋体" w:cs="Times New Roman"/>
          <w:bCs/>
          <w:kern w:val="28"/>
          <w:sz w:val="28"/>
          <w:szCs w:val="32"/>
          <w:lang w:val="en-US" w:eastAsia="zh-CN" w:bidi="ar-SA"/>
        </w:rPr>
        <w:t>（四）考古试探</w:t>
      </w:r>
      <w:bookmarkEnd w:id="39"/>
      <w:bookmarkEnd w:id="40"/>
      <w:bookmarkEnd w:id="41"/>
      <w:bookmarkEnd w:id="42"/>
      <w:bookmarkEnd w:id="43"/>
    </w:p>
    <w:p>
      <w:pPr>
        <w:keepNext w:val="0"/>
        <w:keepLines w:val="0"/>
        <w:widowControl/>
        <w:suppressLineNumbers w:val="0"/>
        <w:spacing w:before="0" w:beforeAutospacing="0" w:after="0" w:afterAutospacing="0" w:line="360" w:lineRule="auto"/>
        <w:ind w:left="0" w:right="0" w:firstLine="480" w:firstLineChars="200"/>
        <w:jc w:val="left"/>
        <w:rPr>
          <w:rFonts w:hint="eastAsia"/>
          <w:color w:val="auto"/>
          <w:lang w:val="en-US" w:eastAsia="zh-CN"/>
        </w:rPr>
      </w:pPr>
      <w:r>
        <w:rPr>
          <w:rFonts w:hint="eastAsia" w:ascii="宋体" w:hAnsi="宋体" w:cs="宋体"/>
          <w:color w:val="auto"/>
          <w:kern w:val="0"/>
          <w:sz w:val="24"/>
          <w:szCs w:val="24"/>
          <w:lang w:val="en-US" w:eastAsia="zh-CN" w:bidi="ar"/>
        </w:rPr>
        <w:t>为了进一步掌握地块内的地层情况，</w:t>
      </w:r>
      <w:r>
        <w:rPr>
          <w:rFonts w:hint="eastAsia" w:ascii="宋体" w:hAnsi="宋体" w:eastAsia="宋体" w:cs="宋体"/>
          <w:color w:val="auto"/>
          <w:kern w:val="0"/>
          <w:sz w:val="24"/>
          <w:szCs w:val="24"/>
          <w:lang w:val="en-US" w:eastAsia="zh-CN" w:bidi="ar"/>
        </w:rPr>
        <w:t>根据实际条件，我们在地块</w:t>
      </w:r>
      <w:r>
        <w:rPr>
          <w:rFonts w:hint="eastAsia" w:ascii="宋体" w:hAnsi="宋体" w:cs="宋体"/>
          <w:color w:val="auto"/>
          <w:kern w:val="0"/>
          <w:sz w:val="24"/>
          <w:szCs w:val="24"/>
          <w:lang w:val="en-US" w:eastAsia="zh-CN" w:bidi="ar"/>
        </w:rPr>
        <w:t>东南部进行了</w:t>
      </w:r>
      <w:r>
        <w:rPr>
          <w:rFonts w:hint="eastAsia" w:ascii="宋体" w:hAnsi="宋体" w:eastAsia="宋体" w:cs="宋体"/>
          <w:color w:val="auto"/>
          <w:kern w:val="0"/>
          <w:sz w:val="24"/>
          <w:szCs w:val="24"/>
          <w:lang w:val="en-US" w:eastAsia="zh-CN" w:bidi="ar"/>
        </w:rPr>
        <w:t>探孔</w:t>
      </w:r>
      <w:r>
        <w:rPr>
          <w:rFonts w:hint="eastAsia" w:ascii="宋体" w:hAnsi="宋体" w:cs="宋体"/>
          <w:color w:val="auto"/>
          <w:kern w:val="0"/>
          <w:sz w:val="24"/>
          <w:szCs w:val="24"/>
          <w:lang w:val="en-US" w:eastAsia="zh-CN" w:bidi="ar"/>
        </w:rPr>
        <w:t>试探</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编号为TK1-TK10，</w:t>
      </w:r>
      <w:r>
        <w:rPr>
          <w:rFonts w:hint="eastAsia" w:ascii="宋体" w:hAnsi="宋体" w:eastAsia="宋体" w:cs="宋体"/>
          <w:color w:val="auto"/>
          <w:kern w:val="0"/>
          <w:sz w:val="24"/>
          <w:szCs w:val="24"/>
          <w:lang w:val="en-US" w:eastAsia="zh-CN" w:bidi="ar"/>
        </w:rPr>
        <w:t xml:space="preserve">其具体情况如下： </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675" cy="3295650"/>
            <wp:effectExtent l="0" t="0" r="3175" b="0"/>
            <wp:docPr id="37" name="图片 37" descr="探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探孔分布示意图"/>
                    <pic:cNvPicPr>
                      <a:picLocks noChangeAspect="1"/>
                    </pic:cNvPicPr>
                  </pic:nvPicPr>
                  <pic:blipFill>
                    <a:blip r:embed="rId35"/>
                    <a:stretch>
                      <a:fillRect/>
                    </a:stretch>
                  </pic:blipFill>
                  <pic:spPr>
                    <a:xfrm>
                      <a:off x="0" y="0"/>
                      <a:ext cx="5273675" cy="329565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试探探孔位置示意图（黄色标记点）</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38" name="图片 38" descr="北--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北--南 (3)"/>
                    <pic:cNvPicPr>
                      <a:picLocks noChangeAspect="1"/>
                    </pic:cNvPicPr>
                  </pic:nvPicPr>
                  <pic:blipFill>
                    <a:blip r:embed="rId36"/>
                    <a:stretch>
                      <a:fillRect/>
                    </a:stretch>
                  </pic:blipFill>
                  <pic:spPr>
                    <a:xfrm>
                      <a:off x="0" y="0"/>
                      <a:ext cx="5266690" cy="351155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w:t>
      </w:r>
      <w:r>
        <w:rPr>
          <w:rFonts w:hint="eastAsia" w:ascii="黑体" w:hAnsi="黑体" w:cs="黑体"/>
          <w:kern w:val="0"/>
          <w:sz w:val="21"/>
          <w:szCs w:val="21"/>
          <w:lang w:val="en-US" w:eastAsia="zh-CN" w:bidi="ar"/>
        </w:rPr>
        <w:t>清表</w:t>
      </w:r>
      <w:r>
        <w:rPr>
          <w:rFonts w:hint="eastAsia" w:ascii="黑体" w:hAnsi="黑体" w:eastAsia="黑体" w:cs="黑体"/>
          <w:kern w:val="0"/>
          <w:sz w:val="21"/>
          <w:szCs w:val="21"/>
          <w:lang w:val="en-US" w:eastAsia="zh-CN" w:bidi="ar"/>
        </w:rPr>
        <w:t>（</w:t>
      </w:r>
      <w:r>
        <w:rPr>
          <w:rFonts w:hint="eastAsia" w:ascii="黑体" w:hAnsi="黑体" w:cs="黑体"/>
          <w:kern w:val="0"/>
          <w:sz w:val="21"/>
          <w:szCs w:val="21"/>
          <w:lang w:val="en-US" w:eastAsia="zh-CN" w:bidi="ar"/>
        </w:rPr>
        <w:t>北-南</w:t>
      </w:r>
      <w:r>
        <w:rPr>
          <w:rFonts w:hint="eastAsia" w:ascii="黑体" w:hAnsi="黑体" w:eastAsia="黑体" w:cs="黑体"/>
          <w:kern w:val="0"/>
          <w:sz w:val="21"/>
          <w:szCs w:val="21"/>
          <w:lang w:val="en-US" w:eastAsia="zh-CN" w:bidi="ar"/>
        </w:rPr>
        <w:t>）</w:t>
      </w:r>
    </w:p>
    <w:p>
      <w:pPr>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rPr>
          <w:rFonts w:hint="eastAsia"/>
          <w:lang w:val="en-US" w:eastAsia="zh-CN"/>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39" name="图片 39" descr="北--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北--南 (1)"/>
                    <pic:cNvPicPr>
                      <a:picLocks noChangeAspect="1"/>
                    </pic:cNvPicPr>
                  </pic:nvPicPr>
                  <pic:blipFill>
                    <a:blip r:embed="rId37"/>
                    <a:stretch>
                      <a:fillRect/>
                    </a:stretch>
                  </pic:blipFill>
                  <pic:spPr>
                    <a:xfrm>
                      <a:off x="0" y="0"/>
                      <a:ext cx="5266690" cy="351155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现场试探（</w:t>
      </w:r>
      <w:r>
        <w:rPr>
          <w:rFonts w:hint="eastAsia" w:ascii="黑体" w:hAnsi="黑体" w:cs="黑体"/>
          <w:kern w:val="0"/>
          <w:sz w:val="21"/>
          <w:szCs w:val="21"/>
          <w:lang w:val="en-US" w:eastAsia="zh-CN" w:bidi="ar"/>
        </w:rPr>
        <w:t>北-南</w:t>
      </w:r>
      <w:r>
        <w:rPr>
          <w:rFonts w:hint="eastAsia" w:ascii="黑体" w:hAnsi="黑体" w:eastAsia="黑体" w:cs="黑体"/>
          <w:kern w:val="0"/>
          <w:sz w:val="21"/>
          <w:szCs w:val="21"/>
          <w:lang w:val="en-US" w:eastAsia="zh-CN" w:bidi="ar"/>
        </w:rPr>
        <w:t>）</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40" name="图片 40" descr="北--南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北--南 (8)"/>
                    <pic:cNvPicPr>
                      <a:picLocks noChangeAspect="1"/>
                    </pic:cNvPicPr>
                  </pic:nvPicPr>
                  <pic:blipFill>
                    <a:blip r:embed="rId38"/>
                    <a:stretch>
                      <a:fillRect/>
                    </a:stretch>
                  </pic:blipFill>
                  <pic:spPr>
                    <a:xfrm>
                      <a:off x="0" y="0"/>
                      <a:ext cx="5266690" cy="351155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w:t>
      </w:r>
      <w:r>
        <w:rPr>
          <w:rFonts w:hint="eastAsia" w:ascii="黑体" w:hAnsi="黑体" w:cs="黑体"/>
          <w:kern w:val="0"/>
          <w:sz w:val="21"/>
          <w:szCs w:val="21"/>
          <w:lang w:val="en-US" w:eastAsia="zh-CN" w:bidi="ar"/>
        </w:rPr>
        <w:t>分析土样</w:t>
      </w:r>
      <w:r>
        <w:rPr>
          <w:rFonts w:hint="eastAsia" w:ascii="黑体" w:hAnsi="黑体" w:eastAsia="黑体" w:cs="黑体"/>
          <w:kern w:val="0"/>
          <w:sz w:val="21"/>
          <w:szCs w:val="21"/>
          <w:lang w:val="en-US" w:eastAsia="zh-CN" w:bidi="ar"/>
        </w:rPr>
        <w:t>（</w:t>
      </w:r>
      <w:r>
        <w:rPr>
          <w:rFonts w:hint="eastAsia" w:ascii="黑体" w:hAnsi="黑体" w:cs="黑体"/>
          <w:kern w:val="0"/>
          <w:sz w:val="21"/>
          <w:szCs w:val="21"/>
          <w:lang w:val="en-US" w:eastAsia="zh-CN" w:bidi="ar"/>
        </w:rPr>
        <w:t>北-南</w:t>
      </w:r>
      <w:r>
        <w:rPr>
          <w:rFonts w:hint="eastAsia" w:ascii="黑体" w:hAnsi="黑体" w:eastAsia="黑体" w:cs="黑体"/>
          <w:kern w:val="0"/>
          <w:sz w:val="21"/>
          <w:szCs w:val="21"/>
          <w:lang w:val="en-US" w:eastAsia="zh-CN" w:bidi="ar"/>
        </w:rPr>
        <w:t>）</w:t>
      </w:r>
    </w:p>
    <w:p>
      <w:pPr>
        <w:jc w:val="center"/>
        <w:rPr>
          <w:rFonts w:hint="eastAsia" w:ascii="宋体" w:hAnsi="宋体"/>
          <w:b/>
          <w:bCs/>
          <w:sz w:val="21"/>
          <w:szCs w:val="21"/>
        </w:rPr>
      </w:pPr>
      <w:r>
        <w:rPr>
          <w:rFonts w:hint="eastAsia" w:ascii="宋体" w:hAnsi="宋体"/>
          <w:b/>
          <w:bCs/>
          <w:sz w:val="21"/>
          <w:szCs w:val="21"/>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TK1：</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该地块东南部</w:t>
      </w:r>
      <w:r>
        <w:rPr>
          <w:rFonts w:hint="eastAsia" w:ascii="宋体" w:hAnsi="宋体" w:eastAsia="宋体" w:cs="宋体"/>
          <w:color w:val="auto"/>
          <w:sz w:val="24"/>
          <w:szCs w:val="24"/>
          <w:lang w:val="en-US" w:eastAsia="zh-CN"/>
        </w:rPr>
        <w:t>，探孔中心坐标为：N23°17′16.67</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°37′45.18″。地层堆积情况如下：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0.4</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0.4</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1" name="图片 41" descr="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K1"/>
                    <pic:cNvPicPr>
                      <a:picLocks noChangeAspect="1"/>
                    </pic:cNvPicPr>
                  </pic:nvPicPr>
                  <pic:blipFill>
                    <a:blip r:embed="rId39"/>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TK1土样（标杆长1米，土样由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部，探孔中心坐标为：N23°17′16.87</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°37′45.88″</w:t>
      </w:r>
      <w:r>
        <w:rPr>
          <w:rFonts w:hint="eastAsia" w:cs="宋体"/>
          <w:color w:val="auto"/>
          <w:sz w:val="24"/>
          <w:szCs w:val="24"/>
          <w:lang w:val="en-US" w:eastAsia="zh-CN"/>
        </w:rPr>
        <w:t>。</w:t>
      </w:r>
      <w:r>
        <w:rPr>
          <w:rFonts w:hint="eastAsia" w:ascii="宋体" w:hAnsi="宋体" w:eastAsia="宋体" w:cs="宋体"/>
          <w:color w:val="auto"/>
          <w:sz w:val="24"/>
          <w:szCs w:val="24"/>
          <w:lang w:val="en-US" w:eastAsia="zh-CN"/>
        </w:rPr>
        <w:t>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0.3</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0.3</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2" name="图片 42" descr="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TK2"/>
                    <pic:cNvPicPr>
                      <a:picLocks noChangeAspect="1"/>
                    </pic:cNvPicPr>
                  </pic:nvPicPr>
                  <pic:blipFill>
                    <a:blip r:embed="rId40"/>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TK2土样（标杆长1米，土样由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部，探孔中心坐标为：N23°17′17.10</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°37′46.44″。地层堆积情况如下：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0.1</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0.1</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3" name="图片 43" descr="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TK3"/>
                    <pic:cNvPicPr>
                      <a:picLocks noChangeAspect="1"/>
                    </pic:cNvPicPr>
                  </pic:nvPicPr>
                  <pic:blipFill>
                    <a:blip r:embed="rId41"/>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TK3土样（标杆长1米，土样由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部，探孔中心坐标为：N23°17′16.25</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°37′46.41″。地层堆积情况如下：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米，为黄灰色黏土，土质疏松，包含植物根茎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4" name="图片 44" descr="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TK4"/>
                    <pic:cNvPicPr>
                      <a:picLocks noChangeAspect="1"/>
                    </pic:cNvPicPr>
                  </pic:nvPicPr>
                  <pic:blipFill>
                    <a:blip r:embed="rId42"/>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TK4土样（标杆长1米，土样由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部，探孔中心坐标为：N23°17′16.17</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°37′45.62″。地层堆积情况如下：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0.6</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0.6</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5" name="图片 45" descr="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K5"/>
                    <pic:cNvPicPr>
                      <a:picLocks noChangeAspect="1"/>
                    </pic:cNvPicPr>
                  </pic:nvPicPr>
                  <pic:blipFill>
                    <a:blip r:embed="rId43"/>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TK5土样（标杆长1米，土样由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该地块中北</w:t>
      </w:r>
      <w:r>
        <w:rPr>
          <w:rFonts w:hint="eastAsia" w:ascii="宋体" w:hAnsi="宋体" w:eastAsia="宋体" w:cs="宋体"/>
          <w:color w:val="auto"/>
          <w:sz w:val="24"/>
          <w:szCs w:val="24"/>
          <w:lang w:val="en-US" w:eastAsia="zh-CN"/>
        </w:rPr>
        <w:t>部，探孔中心坐标为：N23°17′16.18</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°37′44.81″。地层堆积情况如下：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米，为黄灰色黏土，土质疏松，包含植物根茎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6" name="图片 46" descr="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K6"/>
                    <pic:cNvPicPr>
                      <a:picLocks noChangeAspect="1"/>
                    </pic:cNvPicPr>
                  </pic:nvPicPr>
                  <pic:blipFill>
                    <a:blip r:embed="rId44"/>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TK6土样（标杆长1米，土样由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部，探孔中心坐标为：N23°17′15.80</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°37′44.28″。地层堆积情况如下：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7" name="图片 47" descr="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K7"/>
                    <pic:cNvPicPr>
                      <a:picLocks noChangeAspect="1"/>
                    </pic:cNvPicPr>
                  </pic:nvPicPr>
                  <pic:blipFill>
                    <a:blip r:embed="rId45"/>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TK7土样（标杆长1米，土样由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部，探孔中心坐标为：N23°17′15.65</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°37′45.10″。地层堆积情况如下：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0.2</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8" name="图片 48" descr="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K8"/>
                    <pic:cNvPicPr>
                      <a:picLocks noChangeAspect="1"/>
                    </pic:cNvPicPr>
                  </pic:nvPicPr>
                  <pic:blipFill>
                    <a:blip r:embed="rId46"/>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TK8土样（标杆长1米，土样由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w:t>
      </w:r>
      <w:r>
        <w:rPr>
          <w:rFonts w:hint="eastAsia" w:ascii="宋体" w:hAnsi="宋体" w:eastAsia="宋体" w:cs="宋体"/>
          <w:color w:val="auto"/>
          <w:sz w:val="24"/>
          <w:szCs w:val="24"/>
          <w:lang w:val="en-US" w:eastAsia="zh-CN"/>
        </w:rPr>
        <w:t>部，探孔中心坐标为：N23°17′15.71</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°37′45.74″。地层堆积情况如下：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0.1</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0.1</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9" name="图片 49" descr="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TK9"/>
                    <pic:cNvPicPr>
                      <a:picLocks noChangeAspect="1"/>
                    </pic:cNvPicPr>
                  </pic:nvPicPr>
                  <pic:blipFill>
                    <a:blip r:embed="rId47"/>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40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TK9土样（标杆长1米，土样由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部，探孔中心坐标为：N23°17′15.70</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°37′46.47″。地层堆积情况如下：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表土层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0.1</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0.1</w:t>
      </w:r>
      <w:r>
        <w:rPr>
          <w:rFonts w:hint="eastAsia" w:ascii="宋体" w:hAnsi="宋体" w:eastAsia="宋体" w:cs="宋体"/>
          <w:color w:val="auto"/>
          <w:sz w:val="24"/>
          <w:szCs w:val="24"/>
          <w:lang w:val="en-US" w:eastAsia="zh-CN"/>
        </w:rPr>
        <w:t>米，为灰褐色黏土，土质疏松，包含植物根茎</w:t>
      </w:r>
      <w:r>
        <w:rPr>
          <w:rFonts w:hint="eastAsia" w:ascii="宋体" w:hAnsi="宋体" w:cs="宋体"/>
          <w:color w:val="auto"/>
          <w:sz w:val="24"/>
          <w:szCs w:val="24"/>
          <w:lang w:val="en-US" w:eastAsia="zh-CN"/>
        </w:rPr>
        <w:t>；该层下即生土，为黄褐色黏土，土质致密、纯净。</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50" name="图片 50" descr="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TK10"/>
                    <pic:cNvPicPr>
                      <a:picLocks noChangeAspect="1"/>
                    </pic:cNvPicPr>
                  </pic:nvPicPr>
                  <pic:blipFill>
                    <a:blip r:embed="rId48"/>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41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TK10土样（标杆长1米，土样由</w:t>
      </w:r>
      <w:r>
        <w:rPr>
          <w:rFonts w:hint="eastAsia" w:ascii="黑体" w:hAnsi="黑体" w:cs="黑体"/>
          <w:kern w:val="0"/>
          <w:sz w:val="21"/>
          <w:szCs w:val="21"/>
          <w:lang w:val="en-US" w:eastAsia="zh-CN" w:bidi="ar"/>
        </w:rPr>
        <w:t>左到右</w:t>
      </w:r>
      <w:r>
        <w:rPr>
          <w:rFonts w:hint="eastAsia" w:ascii="黑体" w:hAnsi="黑体" w:eastAsia="黑体" w:cs="黑体"/>
          <w:kern w:val="0"/>
          <w:sz w:val="21"/>
          <w:szCs w:val="21"/>
          <w:lang w:val="en-US" w:eastAsia="zh-CN" w:bidi="ar"/>
        </w:rPr>
        <w:t>）</w:t>
      </w:r>
    </w:p>
    <w:p>
      <w:pPr>
        <w:pStyle w:val="9"/>
        <w:jc w:val="center"/>
        <w:outlineLvl w:val="0"/>
        <w:rPr>
          <w:rStyle w:val="56"/>
          <w:rFonts w:hint="eastAsia" w:eastAsia="宋体"/>
          <w:lang w:val="en-US" w:eastAsia="zh-CN" w:bidi="ar-SA"/>
        </w:rPr>
      </w:pPr>
      <w:bookmarkStart w:id="44" w:name="_Toc24257"/>
      <w:r>
        <w:rPr>
          <w:rStyle w:val="56"/>
          <w:rFonts w:hint="eastAsia" w:eastAsia="宋体"/>
          <w:lang w:val="en-US" w:eastAsia="zh-CN" w:bidi="ar-SA"/>
        </w:rPr>
        <w:t>三、考古调查结果和文物保护意见</w:t>
      </w:r>
      <w:bookmarkEnd w:id="38"/>
      <w:bookmarkEnd w:id="44"/>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45" w:name="_Toc17454"/>
      <w:bookmarkStart w:id="46" w:name="_Toc2782"/>
      <w:r>
        <w:rPr>
          <w:rFonts w:hint="eastAsia" w:ascii="Cambria" w:hAnsi="Cambria" w:eastAsia="宋体" w:cs="宋体"/>
          <w:b w:val="0"/>
          <w:bCs w:val="0"/>
          <w:sz w:val="28"/>
          <w:szCs w:val="28"/>
          <w:lang w:eastAsia="zh-CN"/>
        </w:rPr>
        <w:t>（一）考古调查结果</w:t>
      </w:r>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47" w:name="_Toc21647"/>
      <w:bookmarkStart w:id="48" w:name="_Toc15456"/>
      <w:bookmarkStart w:id="49" w:name="_Toc8002"/>
      <w:bookmarkStart w:id="50" w:name="_Toc12989"/>
      <w:bookmarkStart w:id="51" w:name="_Toc17091"/>
      <w:bookmarkStart w:id="52" w:name="_Toc6409_WPSOffice_Level2"/>
      <w:bookmarkStart w:id="53" w:name="_Toc15813"/>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ascii="宋体" w:hAnsi="宋体" w:cs="宋体"/>
          <w:kern w:val="2"/>
          <w:sz w:val="24"/>
          <w:szCs w:val="24"/>
          <w:highlight w:val="none"/>
          <w:lang w:val="en-US" w:eastAsia="zh-CN" w:bidi="zh-CN"/>
        </w:rPr>
        <w:t>《广州市文物局关于增城区2023年度第五批地块考古调查勘探工作的复函》（文物20231290号）</w:t>
      </w:r>
      <w:r>
        <w:rPr>
          <w:rFonts w:hint="eastAsia" w:ascii="宋体" w:hAnsi="宋体" w:eastAsia="宋体" w:cs="宋体"/>
          <w:kern w:val="2"/>
          <w:sz w:val="24"/>
          <w:szCs w:val="24"/>
          <w:highlight w:val="none"/>
          <w:lang w:val="en-US" w:eastAsia="zh-CN" w:bidi="zh-CN"/>
        </w:rPr>
        <w:t>指导意见，受</w:t>
      </w:r>
      <w:r>
        <w:rPr>
          <w:rFonts w:hint="eastAsia" w:ascii="宋体" w:hAnsi="宋体" w:cs="宋体"/>
          <w:kern w:val="2"/>
          <w:sz w:val="24"/>
          <w:szCs w:val="24"/>
          <w:highlight w:val="none"/>
          <w:lang w:val="en-US" w:eastAsia="zh-CN" w:bidi="zh-CN"/>
        </w:rPr>
        <w:t>广州市增</w:t>
      </w:r>
      <w:r>
        <w:rPr>
          <w:rFonts w:hint="eastAsia" w:ascii="宋体" w:hAnsi="宋体" w:eastAsia="宋体" w:cs="宋体"/>
          <w:kern w:val="2"/>
          <w:sz w:val="24"/>
          <w:szCs w:val="24"/>
          <w:highlight w:val="none"/>
          <w:lang w:val="en-US" w:eastAsia="zh-CN" w:bidi="zh-CN"/>
        </w:rPr>
        <w:t>城区土地开发储备中心的委托，我院对该项目地块总用地面积</w:t>
      </w:r>
      <w:r>
        <w:rPr>
          <w:rFonts w:hint="eastAsia" w:ascii="宋体" w:hAnsi="宋体" w:cs="宋体"/>
          <w:kern w:val="2"/>
          <w:sz w:val="24"/>
          <w:szCs w:val="24"/>
          <w:highlight w:val="none"/>
          <w:lang w:val="en-US" w:eastAsia="zh-CN" w:bidi="zh-CN"/>
        </w:rPr>
        <w:t>49454</w:t>
      </w:r>
      <w:r>
        <w:rPr>
          <w:rFonts w:hint="eastAsia" w:ascii="宋体" w:hAnsi="宋体" w:eastAsia="宋体" w:cs="宋体"/>
          <w:kern w:val="2"/>
          <w:sz w:val="24"/>
          <w:szCs w:val="24"/>
          <w:highlight w:val="none"/>
          <w:lang w:val="en-US" w:eastAsia="zh-CN" w:bidi="zh-CN"/>
        </w:rPr>
        <w:t>平方米进行了考古调查。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经调查，增城区中新科技园区74.181亩地块位于广州市增城区中新镇，南邻恒创工业园，东距乌石南一路约一公里。地块整体地势平坦，均为平地。除东南部外，其余区域现已填垫有较厚垫土。地块东南部为缓坡地带，为植被覆盖，地势低平，只有东南部具备试探条件。考古试探表明，地块东南角地层堆积简单且一致：①层：表土层，为灰褐色黏土，土质疏松，包含植物根茎；该层下即生土，为黄褐色黏土，土质致密、纯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调查在地块范围内未发现古代文化遗存和不可移动文物。</w:t>
      </w:r>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54" w:name="_Toc16187"/>
      <w:r>
        <w:rPr>
          <w:rFonts w:hint="eastAsia" w:ascii="Cambria" w:hAnsi="Cambria" w:eastAsia="宋体" w:cs="宋体"/>
          <w:b w:val="0"/>
          <w:bCs w:val="0"/>
          <w:sz w:val="28"/>
          <w:szCs w:val="28"/>
          <w:lang w:eastAsia="zh-CN"/>
        </w:rPr>
        <w:t>（二）文物保护意见</w:t>
      </w:r>
      <w:bookmarkEnd w:id="47"/>
      <w:bookmarkEnd w:id="48"/>
      <w:bookmarkEnd w:id="49"/>
      <w:bookmarkEnd w:id="50"/>
      <w:bookmarkEnd w:id="51"/>
      <w:bookmarkEnd w:id="52"/>
      <w:bookmarkEnd w:id="53"/>
      <w:bookmarkEnd w:id="54"/>
      <w:bookmarkStart w:id="55" w:name="_Toc447056077"/>
      <w:r>
        <w:rPr>
          <w:b w:val="0"/>
          <w:bCs w:val="0"/>
          <w:sz w:val="28"/>
          <w:szCs w:val="28"/>
          <w:lang w:eastAsia="zh-CN"/>
        </w:rPr>
        <w:t xml:space="preserve"> </w:t>
      </w:r>
    </w:p>
    <w:bookmarkEnd w:id="5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56" w:name="_Toc18895_WPSOffice_Level1"/>
      <w:bookmarkStart w:id="57" w:name="_Toc16112"/>
      <w:bookmarkStart w:id="58" w:name="_Toc27444"/>
      <w:bookmarkStart w:id="59" w:name="_Toc7022"/>
      <w:bookmarkStart w:id="60" w:name="_Toc22862"/>
      <w:bookmarkStart w:id="61" w:name="_Toc15363"/>
      <w:bookmarkStart w:id="62" w:name="_Toc32036"/>
      <w:bookmarkStart w:id="63" w:name="_Toc21596"/>
      <w:bookmarkStart w:id="64" w:name="_Toc29911"/>
      <w:r>
        <w:rPr>
          <w:rFonts w:hint="eastAsia" w:ascii="宋体" w:hAnsi="宋体" w:eastAsia="宋体" w:cs="宋体"/>
          <w:kern w:val="2"/>
          <w:sz w:val="24"/>
          <w:szCs w:val="24"/>
          <w:highlight w:val="none"/>
          <w:lang w:val="en-US" w:eastAsia="zh-CN" w:bidi="zh-CN"/>
        </w:rPr>
        <w:t xml:space="preserve">根据以上考古调查和试探结果，在地块范围内发现具有历史文化价值、需要进一步开展考古勘探的古代文化遗存。本次调查对于今后在这一区域的考古工作具有一定的借鉴意义。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本次考古调查工作完成后，收储单位可以按规定继续完善土地出让的手续。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由于地下堆积、文化遗存的形成和分布存在一定的特殊性，将来在建设施工过程中如果发现文物，建设、施工单位应当立即停止施工，保护好现场，并及时报请文物部门处理。</w:t>
      </w:r>
    </w:p>
    <w:p>
      <w:pPr>
        <w:ind w:firstLine="0" w:firstLineChars="0"/>
        <w:outlineLvl w:val="9"/>
        <w:rPr>
          <w:rStyle w:val="55"/>
          <w:rFonts w:hint="eastAsia"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p>
    <w:p>
      <w:pPr>
        <w:rPr>
          <w:rStyle w:val="55"/>
          <w:rFonts w:hint="eastAsia" w:ascii="Times New Roman" w:hAnsi="Times New Roman" w:cs="Times New Roman"/>
          <w:lang w:val="en-US" w:eastAsia="zh-CN"/>
        </w:rPr>
        <w:sectPr>
          <w:pgSz w:w="11906" w:h="16838"/>
          <w:pgMar w:top="1440" w:right="1800" w:bottom="1440" w:left="1800" w:header="851" w:footer="992" w:gutter="0"/>
          <w:pgNumType w:fmt="decimal"/>
          <w:cols w:space="720" w:num="1"/>
          <w:docGrid w:type="lines" w:linePitch="312" w:charSpace="0"/>
        </w:sectPr>
      </w:pPr>
    </w:p>
    <w:p>
      <w:pPr>
        <w:jc w:val="both"/>
        <w:outlineLvl w:val="0"/>
        <w:rPr>
          <w:rFonts w:hint="eastAsia" w:ascii="Times New Roman" w:hAnsi="Times New Roman" w:eastAsia="宋体" w:cs="Times New Roman"/>
          <w:b/>
          <w:bCs/>
          <w:color w:val="auto"/>
          <w:kern w:val="44"/>
          <w:sz w:val="28"/>
          <w:szCs w:val="44"/>
          <w:lang w:val="en-US" w:eastAsia="zh-CN" w:bidi="en-US"/>
        </w:rPr>
      </w:pPr>
      <w:bookmarkStart w:id="65" w:name="_Toc16224"/>
      <w:bookmarkStart w:id="66" w:name="_Toc15881"/>
      <w:bookmarkStart w:id="67" w:name="_Toc28885"/>
      <w:bookmarkStart w:id="68" w:name="_Toc21001"/>
      <w:r>
        <w:rPr>
          <w:rFonts w:hint="eastAsia" w:ascii="Times New Roman" w:hAnsi="Times New Roman" w:eastAsia="宋体" w:cs="Times New Roman"/>
          <w:b/>
          <w:bCs/>
          <w:color w:val="auto"/>
          <w:kern w:val="44"/>
          <w:sz w:val="28"/>
          <w:szCs w:val="44"/>
          <w:lang w:val="en-US" w:eastAsia="zh-CN" w:bidi="en-US"/>
        </w:rPr>
        <w:t xml:space="preserve">附表一  </w:t>
      </w:r>
      <w:r>
        <w:rPr>
          <w:rFonts w:hint="eastAsia" w:ascii="Times New Roman" w:hAnsi="Times New Roman" w:cs="Times New Roman"/>
          <w:b/>
          <w:bCs/>
          <w:color w:val="auto"/>
          <w:kern w:val="44"/>
          <w:sz w:val="28"/>
          <w:szCs w:val="44"/>
          <w:lang w:val="en-US" w:eastAsia="zh-CN" w:bidi="en-US"/>
        </w:rPr>
        <w:t>增城区中新科技园区74.181亩地块</w:t>
      </w:r>
      <w:r>
        <w:rPr>
          <w:rFonts w:hint="eastAsia" w:ascii="Times New Roman" w:hAnsi="Times New Roman" w:eastAsia="宋体" w:cs="Times New Roman"/>
          <w:b/>
          <w:bCs/>
          <w:color w:val="auto"/>
          <w:kern w:val="44"/>
          <w:sz w:val="28"/>
          <w:szCs w:val="44"/>
          <w:lang w:val="en-US" w:eastAsia="zh-CN" w:bidi="en-US"/>
        </w:rPr>
        <w:t>考古调查试探数据</w:t>
      </w:r>
      <w:bookmarkEnd w:id="65"/>
      <w:bookmarkEnd w:id="66"/>
      <w:bookmarkEnd w:id="67"/>
      <w:bookmarkEnd w:id="6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675"/>
        <w:gridCol w:w="1738"/>
        <w:gridCol w:w="662"/>
        <w:gridCol w:w="1140"/>
        <w:gridCol w:w="3120"/>
        <w:gridCol w:w="975"/>
        <w:gridCol w:w="1200"/>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97"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序号</w:t>
            </w:r>
          </w:p>
        </w:tc>
        <w:tc>
          <w:tcPr>
            <w:tcW w:w="3413" w:type="dxa"/>
            <w:gridSpan w:val="2"/>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卡探夹孔编号</w:t>
            </w:r>
          </w:p>
        </w:tc>
        <w:tc>
          <w:tcPr>
            <w:tcW w:w="662"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层位</w:t>
            </w:r>
          </w:p>
        </w:tc>
        <w:tc>
          <w:tcPr>
            <w:tcW w:w="114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距离地表</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深度</w:t>
            </w:r>
            <w:r>
              <w:rPr>
                <w:rFonts w:hint="eastAsia" w:cs="宋体"/>
                <w:b/>
                <w:sz w:val="21"/>
                <w:szCs w:val="21"/>
                <w:lang w:eastAsia="zh-CN"/>
              </w:rPr>
              <w:t>（</w:t>
            </w:r>
            <w:r>
              <w:rPr>
                <w:rFonts w:hint="eastAsia" w:cs="宋体"/>
                <w:b/>
                <w:sz w:val="21"/>
                <w:szCs w:val="21"/>
                <w:lang w:val="en-US" w:eastAsia="zh-CN"/>
              </w:rPr>
              <w:t>米</w:t>
            </w:r>
            <w:r>
              <w:rPr>
                <w:rFonts w:hint="eastAsia" w:cs="宋体"/>
                <w:b/>
                <w:sz w:val="21"/>
                <w:szCs w:val="21"/>
                <w:lang w:eastAsia="zh-CN"/>
              </w:rPr>
              <w:t>）</w:t>
            </w:r>
          </w:p>
        </w:tc>
        <w:tc>
          <w:tcPr>
            <w:tcW w:w="312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堆积和包含物</w:t>
            </w:r>
          </w:p>
        </w:tc>
        <w:tc>
          <w:tcPr>
            <w:tcW w:w="97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堆积性</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质初判</w:t>
            </w:r>
          </w:p>
        </w:tc>
        <w:tc>
          <w:tcPr>
            <w:tcW w:w="120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堆积年</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代初判</w:t>
            </w:r>
          </w:p>
        </w:tc>
        <w:tc>
          <w:tcPr>
            <w:tcW w:w="274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trPr>
        <w:tc>
          <w:tcPr>
            <w:tcW w:w="697"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675"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N</w:t>
            </w:r>
          </w:p>
        </w:tc>
        <w:tc>
          <w:tcPr>
            <w:tcW w:w="1738"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E</w:t>
            </w:r>
          </w:p>
        </w:tc>
        <w:tc>
          <w:tcPr>
            <w:tcW w:w="662"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14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312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975"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20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2745" w:type="dxa"/>
            <w:vMerge w:val="continue"/>
            <w:noWrap w:val="0"/>
            <w:vAlign w:val="top"/>
          </w:tcPr>
          <w:p>
            <w:pPr>
              <w:keepNext w:val="0"/>
              <w:keepLines w:val="0"/>
              <w:suppressLineNumbers w:val="0"/>
              <w:autoSpaceDE w:val="0"/>
              <w:autoSpaceDN w:val="0"/>
              <w:spacing w:before="0" w:beforeAutospacing="0" w:after="0" w:afterAutospacing="0"/>
              <w:ind w:left="0" w:leftChars="0" w:right="0" w:rightChars="0"/>
              <w:jc w:val="center"/>
              <w:rPr>
                <w:rFonts w:hint="eastAsia" w:ascii="宋体" w:hAnsi="宋体" w:eastAsia="宋体" w:cs="宋体"/>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TK1</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23°17′16.67″</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113°37′45.18″</w:t>
            </w:r>
          </w:p>
        </w:tc>
        <w:tc>
          <w:tcPr>
            <w:tcW w:w="662"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default"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0.4</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zh-CN"/>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zh-CN"/>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default"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TK2</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23°17′16.87″</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113°37′45.88″</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0.3</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TK3</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23°17′17.10″</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113°37′46.44″</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0.1</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TK4</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23°17′16.25″</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113°37′46.41″</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0.2</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黄灰色黏土，土质疏松，包含植物根茎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TK5</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23°17′16.17″</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113°37′45.62″</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0.6</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TK6</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23°17′16.18″</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113°37′44.81″</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0.2</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黄灰色黏土，土质疏松，包含植物根茎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TK7</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23°17′15.80″</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113°37′44.28″</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0.2</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TK8</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23°17′15.65″</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113°37′45.10″</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0.2</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TK9</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23°17′15.71″</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113°37′45.74″</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0.1</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TK10</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23°17′15.70″</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113°37′46.47″</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0.1</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灰褐色黏土，土质疏松，包含植物根茎</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cs="宋体"/>
                <w:color w:val="auto"/>
                <w:sz w:val="21"/>
                <w:szCs w:val="21"/>
                <w:lang w:val="en-US" w:eastAsia="zh-CN"/>
              </w:rPr>
              <w:t>该层下即生土，为黄褐色黏土，土质致密、纯净</w:t>
            </w:r>
          </w:p>
        </w:tc>
      </w:tr>
    </w:tbl>
    <w:p>
      <w:pPr>
        <w:pStyle w:val="2"/>
        <w:rPr>
          <w:rFonts w:hint="eastAsia"/>
          <w:lang w:val="en-US" w:eastAsia="zh-CN"/>
        </w:rPr>
        <w:sectPr>
          <w:pgSz w:w="16838" w:h="11906" w:orient="landscape"/>
          <w:pgMar w:top="1800" w:right="1440" w:bottom="1800" w:left="1440" w:header="851" w:footer="992" w:gutter="0"/>
          <w:pgNumType w:fmt="decimal"/>
          <w:cols w:space="720" w:num="1"/>
          <w:docGrid w:type="lines" w:linePitch="312" w:charSpace="0"/>
        </w:sectPr>
      </w:pPr>
    </w:p>
    <w:bookmarkEnd w:id="56"/>
    <w:bookmarkEnd w:id="57"/>
    <w:bookmarkEnd w:id="58"/>
    <w:bookmarkEnd w:id="59"/>
    <w:bookmarkEnd w:id="60"/>
    <w:bookmarkEnd w:id="61"/>
    <w:bookmarkEnd w:id="62"/>
    <w:bookmarkEnd w:id="63"/>
    <w:bookmarkEnd w:id="64"/>
    <w:p>
      <w:pPr>
        <w:pStyle w:val="6"/>
        <w:widowControl/>
        <w:spacing w:line="360" w:lineRule="auto"/>
        <w:jc w:val="left"/>
        <w:rPr>
          <w:rFonts w:hint="default" w:ascii="Times New Roman" w:hAnsi="Times New Roman" w:cs="Times New Roman"/>
          <w:sz w:val="28"/>
          <w:szCs w:val="28"/>
          <w:lang w:val="en-US" w:eastAsia="zh-CN" w:bidi="en-US"/>
        </w:rPr>
      </w:pPr>
      <w:bookmarkStart w:id="69" w:name="_Toc23537"/>
      <w:bookmarkStart w:id="70" w:name="_Toc11317"/>
      <w:bookmarkStart w:id="71" w:name="_Toc22701"/>
      <w:bookmarkStart w:id="72" w:name="_Toc31541"/>
      <w:bookmarkStart w:id="73" w:name="_Toc30953"/>
      <w:bookmarkStart w:id="74" w:name="_Toc6852"/>
      <w:r>
        <w:rPr>
          <w:rFonts w:hint="eastAsia"/>
          <w:sz w:val="28"/>
          <w:szCs w:val="28"/>
          <w:lang w:bidi="en-US"/>
        </w:rPr>
        <w:t>附录一</w:t>
      </w:r>
      <w:bookmarkEnd w:id="69"/>
      <w:r>
        <w:rPr>
          <w:rFonts w:hint="eastAsia"/>
          <w:sz w:val="28"/>
          <w:szCs w:val="28"/>
          <w:lang w:bidi="en-US"/>
        </w:rPr>
        <w:t xml:space="preserve"> </w:t>
      </w:r>
      <w:bookmarkEnd w:id="70"/>
      <w:bookmarkEnd w:id="71"/>
      <w:bookmarkEnd w:id="72"/>
      <w:r>
        <w:rPr>
          <w:rFonts w:hint="eastAsia"/>
          <w:sz w:val="28"/>
          <w:szCs w:val="28"/>
          <w:lang w:val="en-US" w:eastAsia="zh-CN" w:bidi="en-US"/>
        </w:rPr>
        <w:t xml:space="preserve"> </w:t>
      </w:r>
      <w:bookmarkEnd w:id="73"/>
      <w:bookmarkEnd w:id="74"/>
    </w:p>
    <w:p>
      <w:pPr>
        <w:jc w:val="center"/>
      </w:pPr>
      <w:r>
        <w:drawing>
          <wp:inline distT="0" distB="0" distL="114300" distR="114300">
            <wp:extent cx="5268595" cy="7392035"/>
            <wp:effectExtent l="0" t="0" r="8255"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9"/>
                    <a:stretch>
                      <a:fillRect/>
                    </a:stretch>
                  </pic:blipFill>
                  <pic:spPr>
                    <a:xfrm>
                      <a:off x="0" y="0"/>
                      <a:ext cx="5268595" cy="7392035"/>
                    </a:xfrm>
                    <a:prstGeom prst="rect">
                      <a:avLst/>
                    </a:prstGeom>
                    <a:noFill/>
                    <a:ln>
                      <a:noFill/>
                    </a:ln>
                  </pic:spPr>
                </pic:pic>
              </a:graphicData>
            </a:graphic>
          </wp:inline>
        </w:drawing>
      </w:r>
    </w:p>
    <w:p>
      <w:r>
        <w:br w:type="page"/>
      </w:r>
    </w:p>
    <w:p>
      <w:pPr>
        <w:jc w:val="center"/>
      </w:pPr>
    </w:p>
    <w:p>
      <w:pPr>
        <w:jc w:val="center"/>
      </w:pPr>
    </w:p>
    <w:p>
      <w:pPr>
        <w:jc w:val="center"/>
      </w:pPr>
    </w:p>
    <w:p>
      <w:pPr>
        <w:jc w:val="center"/>
        <w:rPr>
          <w:rFonts w:hint="eastAsia" w:eastAsia="宋体"/>
          <w:lang w:eastAsia="zh-CN"/>
        </w:rPr>
      </w:pPr>
      <w:r>
        <w:drawing>
          <wp:inline distT="0" distB="0" distL="114300" distR="114300">
            <wp:extent cx="5271135" cy="7478395"/>
            <wp:effectExtent l="0" t="0" r="571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0"/>
                    <a:stretch>
                      <a:fillRect/>
                    </a:stretch>
                  </pic:blipFill>
                  <pic:spPr>
                    <a:xfrm>
                      <a:off x="0" y="0"/>
                      <a:ext cx="5271135" cy="7478395"/>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br w:type="page"/>
      </w:r>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rPr>
          <w:sz w:val="28"/>
          <w:szCs w:val="28"/>
        </w:rPr>
      </w:pPr>
      <w:bookmarkStart w:id="75" w:name="_Toc13492"/>
      <w:bookmarkStart w:id="76" w:name="_Toc19118"/>
      <w:r>
        <w:rPr>
          <w:rFonts w:hint="eastAsia"/>
          <w:sz w:val="28"/>
          <w:szCs w:val="28"/>
        </w:rPr>
        <w:t>附录二</w:t>
      </w:r>
      <w:bookmarkEnd w:id="75"/>
      <w:r>
        <w:rPr>
          <w:rFonts w:hint="eastAsia"/>
          <w:sz w:val="28"/>
          <w:szCs w:val="28"/>
        </w:rPr>
        <w:t xml:space="preserve">  </w:t>
      </w:r>
      <w:bookmarkEnd w:id="76"/>
    </w:p>
    <w:p>
      <w:pPr>
        <w:autoSpaceDE w:val="0"/>
        <w:autoSpaceDN w:val="0"/>
        <w:spacing w:line="360" w:lineRule="auto"/>
        <w:jc w:val="center"/>
        <w:rPr>
          <w:rFonts w:hint="eastAsia" w:eastAsia="宋体"/>
          <w:lang w:eastAsia="zh-CN"/>
        </w:rPr>
      </w:pPr>
      <w:r>
        <w:rPr>
          <w:rFonts w:hint="eastAsia" w:eastAsia="宋体"/>
          <w:lang w:eastAsia="zh-CN"/>
        </w:rPr>
        <w:drawing>
          <wp:inline distT="0" distB="0" distL="114300" distR="114300">
            <wp:extent cx="5265420" cy="3724275"/>
            <wp:effectExtent l="0" t="0" r="11430" b="9525"/>
            <wp:docPr id="10" name="图片 10" descr="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考古发掘资质证书"/>
                    <pic:cNvPicPr>
                      <a:picLocks noChangeAspect="1"/>
                    </pic:cNvPicPr>
                  </pic:nvPicPr>
                  <pic:blipFill>
                    <a:blip r:embed="rId51"/>
                    <a:stretch>
                      <a:fillRect/>
                    </a:stretch>
                  </pic:blipFill>
                  <pic:spPr>
                    <a:xfrm>
                      <a:off x="0" y="0"/>
                      <a:ext cx="5265420" cy="3724275"/>
                    </a:xfrm>
                    <a:prstGeom prst="rect">
                      <a:avLst/>
                    </a:prstGeom>
                  </pic:spPr>
                </pic:pic>
              </a:graphicData>
            </a:graphic>
          </wp:inline>
        </w:drawing>
      </w:r>
    </w:p>
    <w:p>
      <w:pPr>
        <w:pStyle w:val="2"/>
        <w:ind w:left="0" w:leftChars="0" w:firstLine="0" w:firstLineChars="0"/>
        <w:sectPr>
          <w:footerReference r:id="rId5" w:type="default"/>
          <w:pgSz w:w="11906" w:h="16838"/>
          <w:pgMar w:top="1440" w:right="1800" w:bottom="1440" w:left="1800" w:header="851" w:footer="992" w:gutter="0"/>
          <w:pgNumType w:fmt="decimal"/>
          <w:cols w:space="720" w:num="1"/>
          <w:docGrid w:type="lines" w:linePitch="312" w:charSpace="0"/>
        </w:sectPr>
      </w:pPr>
    </w:p>
    <w:p>
      <w:pPr>
        <w:pStyle w:val="6"/>
        <w:widowControl/>
        <w:spacing w:before="0" w:after="0" w:line="360" w:lineRule="auto"/>
        <w:ind w:left="0" w:leftChars="0" w:firstLine="0" w:firstLineChars="0"/>
        <w:jc w:val="both"/>
        <w:rPr>
          <w:rFonts w:hint="eastAsia"/>
          <w:color w:val="auto"/>
          <w:sz w:val="28"/>
          <w:lang w:eastAsia="zh-CN" w:bidi="en-US"/>
        </w:rPr>
      </w:pPr>
      <w:bookmarkStart w:id="77" w:name="_Toc14696"/>
      <w:bookmarkStart w:id="78" w:name="_Toc3214"/>
      <w:bookmarkStart w:id="79" w:name="_Toc20138"/>
      <w:bookmarkStart w:id="80" w:name="_Toc705"/>
      <w:bookmarkStart w:id="81" w:name="_Toc17124"/>
      <w:bookmarkStart w:id="82" w:name="_Toc25755"/>
      <w:r>
        <w:rPr>
          <w:rFonts w:hint="eastAsia"/>
          <w:color w:val="auto"/>
          <w:sz w:val="28"/>
          <w:lang w:eastAsia="zh-CN" w:bidi="en-US"/>
        </w:rPr>
        <w:t>附录</w:t>
      </w:r>
      <w:bookmarkEnd w:id="77"/>
      <w:r>
        <w:rPr>
          <w:rFonts w:hint="eastAsia"/>
          <w:color w:val="auto"/>
          <w:sz w:val="28"/>
          <w:lang w:val="en-US" w:eastAsia="zh-CN" w:bidi="en-US"/>
        </w:rPr>
        <w:t>三</w:t>
      </w:r>
      <w:bookmarkStart w:id="83" w:name="_Toc21680"/>
      <w:bookmarkStart w:id="84" w:name="_Toc7988"/>
      <w:bookmarkStart w:id="85" w:name="_Toc16559"/>
      <w:bookmarkStart w:id="86" w:name="_Toc29804"/>
      <w:bookmarkStart w:id="87" w:name="_Toc2581"/>
      <w:r>
        <w:rPr>
          <w:rFonts w:hint="eastAsia"/>
          <w:color w:val="auto"/>
          <w:sz w:val="28"/>
          <w:lang w:val="en-US" w:eastAsia="zh-CN" w:bidi="en-US"/>
        </w:rPr>
        <w:t xml:space="preserve">  </w:t>
      </w:r>
      <w:r>
        <w:rPr>
          <w:rFonts w:hint="eastAsia"/>
          <w:color w:val="auto"/>
          <w:sz w:val="28"/>
          <w:lang w:eastAsia="zh-CN" w:bidi="en-US"/>
        </w:rPr>
        <w:t>文物保护法规（节选）</w:t>
      </w:r>
      <w:bookmarkEnd w:id="78"/>
      <w:bookmarkEnd w:id="79"/>
      <w:bookmarkEnd w:id="80"/>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bCs/>
          <w:sz w:val="30"/>
          <w:szCs w:val="30"/>
          <w:lang w:eastAsia="zh-CN"/>
        </w:rPr>
      </w:pPr>
      <w:r>
        <w:rPr>
          <w:rFonts w:hint="eastAsia" w:ascii="宋体" w:hAnsi="宋体"/>
          <w:b/>
          <w:bCs/>
          <w:sz w:val="30"/>
          <w:szCs w:val="30"/>
          <w:lang w:eastAsia="zh-CN"/>
        </w:rPr>
        <w:t>《中华人民共和国文物保护法》</w:t>
      </w:r>
      <w:r>
        <w:rPr>
          <w:rFonts w:hint="eastAsia" w:ascii="宋体" w:hAnsi="宋体"/>
          <w:b w:val="0"/>
          <w:bCs w:val="0"/>
          <w:sz w:val="24"/>
          <w:szCs w:val="24"/>
          <w:lang w:eastAsia="zh-CN"/>
        </w:rPr>
        <w:t>（20</w:t>
      </w:r>
      <w:r>
        <w:rPr>
          <w:rFonts w:hint="eastAsia" w:ascii="宋体" w:hAnsi="宋体"/>
          <w:b w:val="0"/>
          <w:bCs w:val="0"/>
          <w:sz w:val="24"/>
          <w:szCs w:val="24"/>
          <w:lang w:val="en-US" w:eastAsia="zh-CN"/>
        </w:rPr>
        <w:t>17</w:t>
      </w:r>
      <w:r>
        <w:rPr>
          <w:rFonts w:hint="eastAsia" w:ascii="宋体" w:hAnsi="宋体"/>
          <w:b w:val="0"/>
          <w:bCs w:val="0"/>
          <w:sz w:val="24"/>
          <w:szCs w:val="24"/>
          <w:lang w:eastAsia="zh-CN"/>
        </w:rPr>
        <w:t>年1</w:t>
      </w:r>
      <w:r>
        <w:rPr>
          <w:rFonts w:hint="eastAsia" w:ascii="宋体" w:hAnsi="宋体"/>
          <w:b w:val="0"/>
          <w:bCs w:val="0"/>
          <w:sz w:val="24"/>
          <w:szCs w:val="24"/>
          <w:lang w:val="en-US" w:eastAsia="zh-CN"/>
        </w:rPr>
        <w:t>1</w:t>
      </w:r>
      <w:r>
        <w:rPr>
          <w:rFonts w:hint="eastAsia" w:ascii="宋体" w:hAnsi="宋体"/>
          <w:b w:val="0"/>
          <w:bCs w:val="0"/>
          <w:sz w:val="24"/>
          <w:szCs w:val="24"/>
          <w:lang w:eastAsia="zh-CN"/>
        </w:rPr>
        <w:t>月</w:t>
      </w:r>
      <w:r>
        <w:rPr>
          <w:rFonts w:hint="eastAsia" w:ascii="宋体" w:hAnsi="宋体"/>
          <w:b w:val="0"/>
          <w:bCs w:val="0"/>
          <w:sz w:val="24"/>
          <w:szCs w:val="24"/>
          <w:lang w:val="en-US" w:eastAsia="zh-CN"/>
        </w:rPr>
        <w:t>4</w:t>
      </w:r>
      <w:r>
        <w:rPr>
          <w:rFonts w:hint="eastAsia" w:ascii="宋体" w:hAnsi="宋体"/>
          <w:b w:val="0"/>
          <w:bCs w:val="0"/>
          <w:sz w:val="24"/>
          <w:szCs w:val="24"/>
          <w:lang w:eastAsia="zh-CN"/>
        </w:rPr>
        <w:t>日第</w:t>
      </w:r>
      <w:r>
        <w:rPr>
          <w:rFonts w:hint="eastAsia" w:ascii="宋体" w:hAnsi="宋体"/>
          <w:b w:val="0"/>
          <w:bCs w:val="0"/>
          <w:sz w:val="24"/>
          <w:szCs w:val="24"/>
          <w:lang w:val="en-US" w:eastAsia="zh-CN"/>
        </w:rPr>
        <w:t>十二</w:t>
      </w:r>
      <w:r>
        <w:rPr>
          <w:rFonts w:hint="eastAsia" w:ascii="宋体" w:hAnsi="宋体"/>
          <w:b w:val="0"/>
          <w:bCs w:val="0"/>
          <w:sz w:val="24"/>
          <w:szCs w:val="24"/>
          <w:lang w:eastAsia="zh-CN"/>
        </w:rPr>
        <w:t>届全国人民代表大会常务委员会第</w:t>
      </w:r>
      <w:r>
        <w:rPr>
          <w:rFonts w:hint="eastAsia" w:ascii="宋体" w:hAnsi="宋体"/>
          <w:b w:val="0"/>
          <w:bCs w:val="0"/>
          <w:sz w:val="24"/>
          <w:szCs w:val="24"/>
          <w:lang w:val="en-US" w:eastAsia="zh-CN"/>
        </w:rPr>
        <w:t>三十</w:t>
      </w:r>
      <w:r>
        <w:rPr>
          <w:rFonts w:hint="eastAsia" w:ascii="宋体" w:hAnsi="宋体"/>
          <w:b w:val="0"/>
          <w:bCs w:val="0"/>
          <w:sz w:val="24"/>
          <w:szCs w:val="24"/>
          <w:lang w:eastAsia="zh-CN"/>
        </w:rPr>
        <w:t>次会议通过）</w:t>
      </w:r>
    </w:p>
    <w:p>
      <w:pPr>
        <w:spacing w:line="360" w:lineRule="auto"/>
        <w:ind w:firstLine="498" w:firstLineChars="177"/>
        <w:rPr>
          <w:rFonts w:hint="eastAsia" w:ascii="宋体" w:hAnsi="宋体"/>
          <w:b/>
          <w:bCs/>
          <w:sz w:val="28"/>
          <w:szCs w:val="28"/>
          <w:lang w:eastAsia="zh-CN"/>
        </w:rPr>
      </w:pPr>
      <w:r>
        <w:rPr>
          <w:rFonts w:hint="eastAsia" w:ascii="宋体" w:hAnsi="宋体"/>
          <w:b/>
          <w:bCs/>
          <w:sz w:val="28"/>
          <w:szCs w:val="28"/>
          <w:lang w:eastAsia="zh-CN"/>
        </w:rPr>
        <w:t>第三章·考古发掘·</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第二十九条</w:t>
      </w:r>
      <w:r>
        <w:rPr>
          <w:rFonts w:hint="eastAsia" w:ascii="宋体" w:hAnsi="宋体"/>
          <w:bCs/>
          <w:sz w:val="24"/>
          <w:szCs w:val="24"/>
          <w:lang w:eastAsia="zh-CN"/>
        </w:rPr>
        <w:t xml:space="preserve">  进行大型基本建设工程，建设单位应当事先报请省、自治区、直辖市人民政府文物行政部门组织从事考古发掘的单位在工程范围内有可能埋藏文物的地方进行考古调查、勘探。</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 xml:space="preserve">第三十条  </w:t>
      </w:r>
      <w:r>
        <w:rPr>
          <w:rFonts w:hint="eastAsia" w:ascii="宋体" w:hAnsi="宋体"/>
          <w:bCs/>
          <w:sz w:val="24"/>
          <w:szCs w:val="24"/>
          <w:lang w:eastAsia="zh-CN"/>
        </w:rPr>
        <w:t>需要配合建设工程进行的考古发掘工作，应当由省、自治区、直辖市文物行政部门在勘探工作的基础上提出发掘计划，报国务院文物行政部门批准。</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第三十一条</w:t>
      </w:r>
      <w:r>
        <w:rPr>
          <w:rFonts w:hint="eastAsia" w:ascii="宋体" w:hAnsi="宋体"/>
          <w:bCs/>
          <w:sz w:val="24"/>
          <w:szCs w:val="24"/>
          <w:lang w:eastAsia="zh-CN"/>
        </w:rPr>
        <w:t xml:space="preserve">  凡因进行基本建设和生产建设需要的考古调查、勘探、发掘，所需费用由建设单位列入建设工程预算。</w:t>
      </w:r>
    </w:p>
    <w:p>
      <w:pPr>
        <w:pStyle w:val="2"/>
        <w:rPr>
          <w:rFonts w:hint="eastAsia"/>
          <w:lang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602" w:firstLineChars="200"/>
        <w:jc w:val="both"/>
        <w:textAlignment w:val="auto"/>
        <w:outlineLvl w:val="9"/>
        <w:rPr>
          <w:rFonts w:hint="eastAsia" w:ascii="楷体" w:hAnsi="楷体" w:eastAsia="楷体" w:cs="楷体"/>
          <w:sz w:val="24"/>
          <w:szCs w:val="24"/>
          <w:lang w:val="en-US" w:eastAsia="zh-CN"/>
        </w:rPr>
      </w:pPr>
      <w:r>
        <w:rPr>
          <w:rFonts w:hint="eastAsia" w:ascii="宋体" w:hAnsi="宋体"/>
          <w:b/>
          <w:bCs w:val="0"/>
          <w:sz w:val="30"/>
          <w:szCs w:val="30"/>
          <w:lang w:val="en-US" w:eastAsia="zh-CN"/>
        </w:rPr>
        <w:t>《广州市文物保护规定》</w:t>
      </w:r>
      <w:r>
        <w:rPr>
          <w:rFonts w:hint="eastAsia" w:ascii="楷体" w:hAnsi="楷体" w:eastAsia="楷体" w:cs="楷体"/>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第三十二条 </w:t>
      </w:r>
      <w:r>
        <w:rPr>
          <w:rFonts w:hint="eastAsia" w:ascii="宋体" w:hAnsi="宋体" w:eastAsia="宋体" w:cs="宋体"/>
          <w:kern w:val="0"/>
          <w:sz w:val="24"/>
          <w:szCs w:val="24"/>
          <w:lang w:val="en-US" w:eastAsia="zh-CN" w:bidi="ar"/>
        </w:rPr>
        <w:t>在地下文物埋藏区进行工程建设或者在地下文物埋藏区以外进行大型工程建设前，应当按照下列规定进行考古调查、勘探、发掘：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（二）属于划拨国有建设用地使用权的，应当在工程项目建议书或者可行性研究阶段进行考古调查、勘探，所需经费由市财政承担；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（三）本规定生效之前已经取得土地使用权，但尚未进行考古调查、勘探的，建设单位应当依法申请考古调查、勘探，所需经费由市财政承担。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第三十三条</w:t>
      </w:r>
      <w:r>
        <w:rPr>
          <w:rFonts w:hint="eastAsia" w:ascii="宋体" w:hAnsi="宋体" w:eastAsia="宋体" w:cs="宋体"/>
          <w:kern w:val="0"/>
          <w:sz w:val="24"/>
          <w:szCs w:val="24"/>
          <w:lang w:val="en-US" w:eastAsia="zh-CN" w:bidi="ar"/>
        </w:rPr>
        <w:t xml:space="preserve"> 本规定第三十二条规定的大型建设工程包括下列工程：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（一）在越秀区、海珠区、荔湾区、天河区、白云区辖区内进行的建设工程项目，占地面积一万平方米以上；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（二）在花都区、番禺区、南沙区、黄埔区、从化区、增城区辖区内进行的建设工程项目，占地面积三万平方米以上；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（三）在本市行政区域内新建或者扩建道路、桥梁、高速路、地铁、管网等重大线形工程。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第三十四条</w:t>
      </w:r>
      <w:r>
        <w:rPr>
          <w:rFonts w:hint="eastAsia" w:ascii="宋体" w:hAnsi="宋体" w:eastAsia="宋体" w:cs="宋体"/>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第三十五条</w:t>
      </w:r>
      <w:r>
        <w:rPr>
          <w:rFonts w:hint="eastAsia" w:ascii="宋体" w:hAnsi="宋体" w:eastAsia="宋体" w:cs="宋体"/>
          <w:kern w:val="0"/>
          <w:sz w:val="24"/>
          <w:szCs w:val="24"/>
          <w:lang w:val="en-US" w:eastAsia="zh-CN" w:bidi="ar"/>
        </w:rPr>
        <w:t xml:space="preserve"> 经文物考古调查、勘探，发掘出重要文物的区域，文物行政主管部门可以会同规划行政管理部门划定临时禁止建设区。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第四十三条 </w:t>
      </w:r>
      <w:r>
        <w:rPr>
          <w:rFonts w:hint="eastAsia" w:ascii="宋体" w:hAnsi="宋体" w:eastAsia="宋体" w:cs="宋体"/>
          <w:kern w:val="0"/>
          <w:sz w:val="24"/>
          <w:szCs w:val="24"/>
          <w:lang w:val="en-US" w:eastAsia="zh-CN" w:bidi="ar"/>
        </w:rPr>
        <w:t>文物行政主管部门、文物执法机构或者其他行政管理部门及其 工作人员有下列行为之一的，由任免机关或者监察机关责令改正；造成严重后果 的，由任免机关或者监察机关对负有责任的主管人员和其他直接责任人员给予处分：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（一）违反本规定第五条第三款规定，未定期对文物保护单位进行巡查的；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（二）违反本规定第九条规定，未按照规定用途使用文物保护专项资金或者未在规定期限内将使用情况向社会公布的；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（三）违反本规定第二十五条规定，未在规定期限内划出并公布文物保护单位的建设控制地带的；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（四）违反本规定第二十六条规定，未在规定期限内划出临时保护范围或者临时建设控制地带的；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（五）违反本规定第二十九条第一款规定，规划行政管理部门在编制城乡规划时，涉及不可移动文物或者地下埋藏区未征求文物行政主管部门的意见或者文物行政主管部门未在规定期限内答复的；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（六）违反本规定第三十条第一款规定，未组织编制文物保护单位的保护规划的；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（七）违反本规定第三十条第二款规定，未将已批准的文物保护单位的保护规划、保护范围和建设控制地带以及地下文物埋藏区的保护控制要求纳入城市控制性详细规划的；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（八）违反本规定第三十二条规定，出让或者划拨未进行考古调查、勘探的国有建设用地使用权的；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（九）违反本规定第三十九条规定，不前往现场予以协助的；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（十）其他滥用职权、玩忽职守、徇私舞弊的。 </w:t>
      </w:r>
    </w:p>
    <w:p>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auto"/>
        <w:outlineLvl w:val="9"/>
        <w:rPr>
          <w:rFonts w:hint="eastAsia" w:ascii="宋体" w:hAnsi="宋体" w:eastAsia="宋体" w:cs="宋体"/>
          <w:b w:val="0"/>
          <w:bCs/>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第四十七条 </w:t>
      </w:r>
      <w:r>
        <w:rPr>
          <w:rFonts w:hint="eastAsia" w:ascii="宋体" w:hAnsi="宋体" w:eastAsia="宋体" w:cs="宋体"/>
          <w:b w:val="0"/>
          <w:bCs/>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pStyle w:val="6"/>
        <w:widowControl/>
        <w:spacing w:before="0" w:after="0" w:line="360" w:lineRule="auto"/>
        <w:ind w:left="0" w:leftChars="0" w:firstLine="0" w:firstLineChars="0"/>
        <w:jc w:val="both"/>
        <w:rPr>
          <w:rFonts w:hint="eastAsia" w:ascii="宋体" w:hAnsi="宋体" w:cs="仿宋_GB2312"/>
          <w:sz w:val="24"/>
          <w:szCs w:val="24"/>
          <w:lang w:eastAsia="zh-CN"/>
        </w:rPr>
      </w:pPr>
      <w:bookmarkStart w:id="88" w:name="_Toc28521"/>
      <w:bookmarkStart w:id="89" w:name="_Toc763"/>
      <w:bookmarkStart w:id="90" w:name="_Toc25996"/>
      <w:bookmarkStart w:id="91" w:name="_Toc20277"/>
      <w:bookmarkStart w:id="92" w:name="_Toc16965"/>
      <w:bookmarkStart w:id="93" w:name="_Toc8443"/>
      <w:r>
        <w:rPr>
          <w:rFonts w:hint="eastAsia"/>
          <w:color w:val="auto"/>
          <w:sz w:val="28"/>
          <w:lang w:eastAsia="zh-CN" w:bidi="en-US"/>
        </w:rPr>
        <w:t>附录</w:t>
      </w:r>
      <w:bookmarkEnd w:id="88"/>
      <w:r>
        <w:rPr>
          <w:rFonts w:hint="eastAsia"/>
          <w:color w:val="auto"/>
          <w:sz w:val="28"/>
          <w:lang w:val="en-US" w:eastAsia="zh-CN" w:bidi="en-US"/>
        </w:rPr>
        <w:t>四</w:t>
      </w:r>
      <w:bookmarkStart w:id="94" w:name="_Toc28088"/>
      <w:bookmarkStart w:id="95" w:name="_Toc31772"/>
      <w:bookmarkStart w:id="96" w:name="_Toc26181"/>
      <w:bookmarkStart w:id="97" w:name="_Toc16081"/>
      <w:bookmarkStart w:id="98" w:name="_Toc29478"/>
      <w:r>
        <w:rPr>
          <w:rFonts w:hint="eastAsia"/>
          <w:color w:val="auto"/>
          <w:sz w:val="28"/>
          <w:lang w:val="en-US" w:eastAsia="zh-CN" w:bidi="en-US"/>
        </w:rPr>
        <w:t xml:space="preserve">  </w:t>
      </w:r>
      <w:r>
        <w:rPr>
          <w:rFonts w:hint="eastAsia"/>
          <w:color w:val="auto"/>
          <w:sz w:val="28"/>
          <w:lang w:eastAsia="zh-CN" w:bidi="en-US"/>
        </w:rPr>
        <w:t>关于本报告使用的专业术语、概念和标准的说明</w:t>
      </w:r>
      <w:bookmarkEnd w:id="89"/>
      <w:bookmarkEnd w:id="90"/>
      <w:bookmarkEnd w:id="91"/>
      <w:bookmarkEnd w:id="92"/>
      <w:bookmarkEnd w:id="93"/>
      <w:bookmarkEnd w:id="94"/>
      <w:bookmarkEnd w:id="95"/>
      <w:bookmarkEnd w:id="96"/>
      <w:bookmarkEnd w:id="97"/>
      <w:bookmarkEnd w:id="98"/>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widowControl w:val="0"/>
        <w:autoSpaceDE w:val="0"/>
        <w:autoSpaceDN w:val="0"/>
        <w:spacing w:line="360" w:lineRule="auto"/>
        <w:ind w:firstLine="482"/>
        <w:rPr>
          <w:rFonts w:ascii="宋体" w:hAnsi="宋体"/>
          <w:b/>
          <w:bCs/>
          <w:sz w:val="24"/>
          <w:szCs w:val="24"/>
          <w:lang w:eastAsia="zh-CN"/>
        </w:rPr>
      </w:pPr>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w:t>
      </w:r>
      <w:r>
        <w:rPr>
          <w:rFonts w:hint="eastAsia" w:ascii="宋体" w:hAnsi="宋体" w:cs="仿宋_GB2312"/>
          <w:sz w:val="24"/>
          <w:szCs w:val="24"/>
          <w:lang w:val="en-US" w:eastAsia="zh-CN"/>
        </w:rPr>
        <w:t>洛阳铲</w:t>
      </w:r>
      <w:r>
        <w:rPr>
          <w:rFonts w:hint="eastAsia" w:ascii="宋体" w:hAnsi="宋体" w:cs="仿宋_GB2312"/>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4</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1911</w:t>
      </w:r>
      <w:r>
        <w:rPr>
          <w:rFonts w:hint="eastAsia" w:ascii="宋体" w:hAnsi="宋体" w:cs="仿宋_GB2312"/>
          <w:sz w:val="24"/>
          <w:szCs w:val="24"/>
          <w:lang w:eastAsia="zh-CN"/>
        </w:rPr>
        <w:t>年的古建筑。</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1911</w:t>
      </w:r>
      <w:r>
        <w:rPr>
          <w:rFonts w:hint="eastAsia" w:ascii="宋体" w:hAnsi="宋体" w:cs="仿宋_GB2312"/>
          <w:sz w:val="24"/>
          <w:szCs w:val="24"/>
          <w:lang w:eastAsia="zh-CN"/>
        </w:rPr>
        <w:t>年但具有一定科研价值和代表性的建筑。</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9</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AA </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AB </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BA </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CA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spacing w:line="360" w:lineRule="auto"/>
        <w:ind w:firstLine="482" w:firstLineChars="200"/>
        <w:rPr>
          <w:rFonts w:hint="eastAsia" w:ascii="宋体" w:hAnsi="宋体" w:cs="仿宋_GB2312"/>
          <w:sz w:val="24"/>
          <w:szCs w:val="24"/>
          <w:lang w:eastAsia="zh-CN"/>
        </w:rPr>
      </w:pPr>
      <w:r>
        <w:rPr>
          <w:rFonts w:ascii="宋体" w:hAnsi="宋体" w:cs="仿宋_GB2312"/>
          <w:b/>
          <w:bCs/>
          <w:sz w:val="24"/>
          <w:szCs w:val="24"/>
          <w:lang w:eastAsia="zh-CN"/>
        </w:rPr>
        <w:t xml:space="preserve">CC </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pPr>
        <w:spacing w:line="360" w:lineRule="auto"/>
        <w:ind w:firstLine="480" w:firstLineChars="200"/>
        <w:rPr>
          <w:rFonts w:ascii="宋体" w:hAnsi="宋体"/>
          <w:sz w:val="24"/>
          <w:szCs w:val="24"/>
        </w:rPr>
      </w:pPr>
      <w:r>
        <w:rPr>
          <w:rFonts w:hint="eastAsia" w:ascii="宋体" w:hAnsi="宋体" w:cs="仿宋_GB2312"/>
          <w:sz w:val="24"/>
          <w:szCs w:val="24"/>
        </w:rPr>
        <w:t>遗存级别的评定由本院学术评议组负责，必要时征求其他专家的意见。</w:t>
      </w:r>
    </w:p>
    <w:p>
      <w:pPr>
        <w:autoSpaceDE w:val="0"/>
        <w:autoSpaceDN w:val="0"/>
        <w:spacing w:line="360" w:lineRule="auto"/>
        <w:ind w:firstLine="480" w:firstLineChars="200"/>
        <w:rPr>
          <w:rFonts w:ascii="宋体" w:hAnsi="宋体"/>
          <w:sz w:val="24"/>
          <w:szCs w:val="24"/>
        </w:rPr>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A2C89D-2B5D-467F-826E-38318A1DA15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00ECDEBA-890C-4293-812D-4C1B567DBDE8}"/>
  </w:font>
  <w:font w:name="楷体_GB2312">
    <w:panose1 w:val="02010609030101010101"/>
    <w:charset w:val="86"/>
    <w:family w:val="modern"/>
    <w:pitch w:val="default"/>
    <w:sig w:usb0="00000001" w:usb1="080E0000" w:usb2="00000000" w:usb3="00000000" w:csb0="00040000" w:csb1="00000000"/>
    <w:embedRegular r:id="rId3" w:fontKey="{FE9A6DFC-A85A-4774-9093-6C706A0CC5E1}"/>
  </w:font>
  <w:font w:name="楷体">
    <w:panose1 w:val="02010609060101010101"/>
    <w:charset w:val="86"/>
    <w:family w:val="auto"/>
    <w:pitch w:val="default"/>
    <w:sig w:usb0="800002BF" w:usb1="38CF7CFA" w:usb2="00000016" w:usb3="00000000" w:csb0="00040001" w:csb1="00000000"/>
    <w:embedRegular r:id="rId4" w:fontKey="{9E85F6E9-6DEF-436B-9316-3912CC8065AB}"/>
  </w:font>
  <w:font w:name="华文隶书">
    <w:panose1 w:val="02010800040101010101"/>
    <w:charset w:val="86"/>
    <w:family w:val="auto"/>
    <w:pitch w:val="default"/>
    <w:sig w:usb0="00000001" w:usb1="080F0000" w:usb2="00000000" w:usb3="00000000" w:csb0="00040000" w:csb1="00000000"/>
    <w:embedRegular r:id="rId5" w:fontKey="{EE7D8E80-D5B7-472A-B278-603783638888}"/>
  </w:font>
  <w:font w:name="仿宋">
    <w:panose1 w:val="02010609060101010101"/>
    <w:charset w:val="86"/>
    <w:family w:val="auto"/>
    <w:pitch w:val="default"/>
    <w:sig w:usb0="800002BF" w:usb1="38CF7CFA" w:usb2="00000016" w:usb3="00000000" w:csb0="00040001" w:csb1="00000000"/>
    <w:embedRegular r:id="rId6" w:fontKey="{B5122121-DEE6-4C8C-B9A4-0864795510CB}"/>
  </w:font>
  <w:font w:name="仿宋_GB2312">
    <w:panose1 w:val="02010609030101010101"/>
    <w:charset w:val="86"/>
    <w:family w:val="modern"/>
    <w:pitch w:val="default"/>
    <w:sig w:usb0="00000001" w:usb1="080E0000" w:usb2="00000000" w:usb3="00000000" w:csb0="00040000" w:csb1="00000000"/>
    <w:embedRegular r:id="rId7" w:fontKey="{F6F7FD8D-A00F-4438-B076-4F110E1B37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7CFE3"/>
    <w:multiLevelType w:val="singleLevel"/>
    <w:tmpl w:val="0F17CFE3"/>
    <w:lvl w:ilvl="0" w:tentative="0">
      <w:start w:val="2"/>
      <w:numFmt w:val="chineseCounting"/>
      <w:suff w:val="nothing"/>
      <w:lvlText w:val="（%1）"/>
      <w:lvlJc w:val="left"/>
      <w:rPr>
        <w:rFonts w:hint="eastAsia"/>
      </w:rPr>
    </w:lvl>
  </w:abstractNum>
  <w:abstractNum w:abstractNumId="1">
    <w:nsid w:val="59CA13D0"/>
    <w:multiLevelType w:val="singleLevel"/>
    <w:tmpl w:val="59CA13D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9"/>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OTZjYTgzYTc3NjEyZDUwY2I0NDhkZTA5ZmQ2ZmMifQ=="/>
  </w:docVars>
  <w:rsids>
    <w:rsidRoot w:val="00172A27"/>
    <w:rsid w:val="0000228E"/>
    <w:rsid w:val="00004F21"/>
    <w:rsid w:val="00010C33"/>
    <w:rsid w:val="00010F82"/>
    <w:rsid w:val="00014453"/>
    <w:rsid w:val="00015266"/>
    <w:rsid w:val="00021051"/>
    <w:rsid w:val="00047DB8"/>
    <w:rsid w:val="00075791"/>
    <w:rsid w:val="000B4933"/>
    <w:rsid w:val="000B4F06"/>
    <w:rsid w:val="000B7464"/>
    <w:rsid w:val="000C1F10"/>
    <w:rsid w:val="000C2E8C"/>
    <w:rsid w:val="000C7A0E"/>
    <w:rsid w:val="000D42EF"/>
    <w:rsid w:val="000D4939"/>
    <w:rsid w:val="000D5082"/>
    <w:rsid w:val="000E2390"/>
    <w:rsid w:val="000E38B7"/>
    <w:rsid w:val="000E5C29"/>
    <w:rsid w:val="00114326"/>
    <w:rsid w:val="00120AE5"/>
    <w:rsid w:val="00124FF2"/>
    <w:rsid w:val="00130812"/>
    <w:rsid w:val="00140682"/>
    <w:rsid w:val="001427D4"/>
    <w:rsid w:val="00153EE4"/>
    <w:rsid w:val="0016112A"/>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C6B8C"/>
    <w:rsid w:val="002D0A8E"/>
    <w:rsid w:val="002D2F9D"/>
    <w:rsid w:val="002E1FD6"/>
    <w:rsid w:val="002E4996"/>
    <w:rsid w:val="00304FC3"/>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2982"/>
    <w:rsid w:val="003F4010"/>
    <w:rsid w:val="00400701"/>
    <w:rsid w:val="004025B2"/>
    <w:rsid w:val="00406D56"/>
    <w:rsid w:val="004126C5"/>
    <w:rsid w:val="00416229"/>
    <w:rsid w:val="00424373"/>
    <w:rsid w:val="0042658A"/>
    <w:rsid w:val="00433F18"/>
    <w:rsid w:val="004370AF"/>
    <w:rsid w:val="00443AA4"/>
    <w:rsid w:val="00447AA8"/>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70EB9"/>
    <w:rsid w:val="00571D19"/>
    <w:rsid w:val="00574F92"/>
    <w:rsid w:val="00583A36"/>
    <w:rsid w:val="005945A8"/>
    <w:rsid w:val="00596432"/>
    <w:rsid w:val="005B0919"/>
    <w:rsid w:val="005E289D"/>
    <w:rsid w:val="005E6445"/>
    <w:rsid w:val="005E786E"/>
    <w:rsid w:val="005F29A5"/>
    <w:rsid w:val="005F4C12"/>
    <w:rsid w:val="0061048D"/>
    <w:rsid w:val="00611737"/>
    <w:rsid w:val="006212D3"/>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38D7"/>
    <w:rsid w:val="006F2AC4"/>
    <w:rsid w:val="006F2C72"/>
    <w:rsid w:val="006F6D72"/>
    <w:rsid w:val="00703B07"/>
    <w:rsid w:val="00704090"/>
    <w:rsid w:val="00715107"/>
    <w:rsid w:val="00715584"/>
    <w:rsid w:val="00727B69"/>
    <w:rsid w:val="00732175"/>
    <w:rsid w:val="00751240"/>
    <w:rsid w:val="0075316C"/>
    <w:rsid w:val="00757D21"/>
    <w:rsid w:val="00760275"/>
    <w:rsid w:val="007676D5"/>
    <w:rsid w:val="00783DA4"/>
    <w:rsid w:val="00790CCF"/>
    <w:rsid w:val="00796A9B"/>
    <w:rsid w:val="007A1049"/>
    <w:rsid w:val="007A3AEA"/>
    <w:rsid w:val="007B0178"/>
    <w:rsid w:val="007B3471"/>
    <w:rsid w:val="007C528C"/>
    <w:rsid w:val="007C5388"/>
    <w:rsid w:val="007E1537"/>
    <w:rsid w:val="007E30D7"/>
    <w:rsid w:val="007E471B"/>
    <w:rsid w:val="008008E4"/>
    <w:rsid w:val="00803379"/>
    <w:rsid w:val="008045AC"/>
    <w:rsid w:val="00807029"/>
    <w:rsid w:val="0081210A"/>
    <w:rsid w:val="0082010A"/>
    <w:rsid w:val="00820663"/>
    <w:rsid w:val="00821BE8"/>
    <w:rsid w:val="00826376"/>
    <w:rsid w:val="00830453"/>
    <w:rsid w:val="00832E53"/>
    <w:rsid w:val="0083463C"/>
    <w:rsid w:val="0084265D"/>
    <w:rsid w:val="00842B5F"/>
    <w:rsid w:val="00846C5B"/>
    <w:rsid w:val="008536FC"/>
    <w:rsid w:val="00862B15"/>
    <w:rsid w:val="008663F8"/>
    <w:rsid w:val="008672D6"/>
    <w:rsid w:val="00872A2A"/>
    <w:rsid w:val="00874E61"/>
    <w:rsid w:val="008752DC"/>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D49FC"/>
    <w:rsid w:val="008F0656"/>
    <w:rsid w:val="008F3B0E"/>
    <w:rsid w:val="00900A16"/>
    <w:rsid w:val="00903F1C"/>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7AF8"/>
    <w:rsid w:val="009D0F33"/>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46A1"/>
    <w:rsid w:val="00A67447"/>
    <w:rsid w:val="00A67491"/>
    <w:rsid w:val="00A70740"/>
    <w:rsid w:val="00A74958"/>
    <w:rsid w:val="00A822CD"/>
    <w:rsid w:val="00A8326E"/>
    <w:rsid w:val="00A85D06"/>
    <w:rsid w:val="00A86372"/>
    <w:rsid w:val="00A86B33"/>
    <w:rsid w:val="00A9374B"/>
    <w:rsid w:val="00AA029B"/>
    <w:rsid w:val="00AA233B"/>
    <w:rsid w:val="00AA27C4"/>
    <w:rsid w:val="00AA524B"/>
    <w:rsid w:val="00AB6458"/>
    <w:rsid w:val="00AB6ED5"/>
    <w:rsid w:val="00AC4F03"/>
    <w:rsid w:val="00AC542D"/>
    <w:rsid w:val="00AC63F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1257A"/>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633A"/>
    <w:rsid w:val="00DD24F0"/>
    <w:rsid w:val="00DD27B4"/>
    <w:rsid w:val="00DD6DE7"/>
    <w:rsid w:val="00DF0014"/>
    <w:rsid w:val="00DF0A80"/>
    <w:rsid w:val="00E00B38"/>
    <w:rsid w:val="00E033C7"/>
    <w:rsid w:val="00E07976"/>
    <w:rsid w:val="00E07C39"/>
    <w:rsid w:val="00E138E2"/>
    <w:rsid w:val="00E14217"/>
    <w:rsid w:val="00E31E34"/>
    <w:rsid w:val="00E44B11"/>
    <w:rsid w:val="00E4518A"/>
    <w:rsid w:val="00E53A10"/>
    <w:rsid w:val="00E57079"/>
    <w:rsid w:val="00E614D3"/>
    <w:rsid w:val="00E70101"/>
    <w:rsid w:val="00E746B9"/>
    <w:rsid w:val="00E816B3"/>
    <w:rsid w:val="00E83BAB"/>
    <w:rsid w:val="00E91C22"/>
    <w:rsid w:val="00E932A0"/>
    <w:rsid w:val="00EA1BA1"/>
    <w:rsid w:val="00EB0D53"/>
    <w:rsid w:val="00EB5C2E"/>
    <w:rsid w:val="00EB78A5"/>
    <w:rsid w:val="00EC04FC"/>
    <w:rsid w:val="00EC2211"/>
    <w:rsid w:val="00EC6760"/>
    <w:rsid w:val="00EC740F"/>
    <w:rsid w:val="00ED0ECB"/>
    <w:rsid w:val="00ED2304"/>
    <w:rsid w:val="00EE77F8"/>
    <w:rsid w:val="00EF0244"/>
    <w:rsid w:val="00EF1CC6"/>
    <w:rsid w:val="00EF6A3F"/>
    <w:rsid w:val="00F00996"/>
    <w:rsid w:val="00F14230"/>
    <w:rsid w:val="00F30EF0"/>
    <w:rsid w:val="00F33033"/>
    <w:rsid w:val="00F37B79"/>
    <w:rsid w:val="00F440AA"/>
    <w:rsid w:val="00F440F6"/>
    <w:rsid w:val="00F4554D"/>
    <w:rsid w:val="00F46937"/>
    <w:rsid w:val="00F61CF7"/>
    <w:rsid w:val="00F65F27"/>
    <w:rsid w:val="00F664C9"/>
    <w:rsid w:val="00F671CF"/>
    <w:rsid w:val="00F6760B"/>
    <w:rsid w:val="00F73D96"/>
    <w:rsid w:val="00F74BE1"/>
    <w:rsid w:val="00F80583"/>
    <w:rsid w:val="00F87B4C"/>
    <w:rsid w:val="00F958B6"/>
    <w:rsid w:val="00F97317"/>
    <w:rsid w:val="00FA3419"/>
    <w:rsid w:val="00FA4D2F"/>
    <w:rsid w:val="00FB4353"/>
    <w:rsid w:val="00FB5A62"/>
    <w:rsid w:val="00FC1398"/>
    <w:rsid w:val="00FC1714"/>
    <w:rsid w:val="00FC5CC4"/>
    <w:rsid w:val="00FE0A1B"/>
    <w:rsid w:val="00FE0F2F"/>
    <w:rsid w:val="00FF00A2"/>
    <w:rsid w:val="00FF03CA"/>
    <w:rsid w:val="00FF2DC6"/>
    <w:rsid w:val="00FF4950"/>
    <w:rsid w:val="00FF7760"/>
    <w:rsid w:val="015634EE"/>
    <w:rsid w:val="019B081B"/>
    <w:rsid w:val="022C57B1"/>
    <w:rsid w:val="0257360B"/>
    <w:rsid w:val="02CD62DC"/>
    <w:rsid w:val="03F97C93"/>
    <w:rsid w:val="05005DB3"/>
    <w:rsid w:val="054A7572"/>
    <w:rsid w:val="057E3C7A"/>
    <w:rsid w:val="05D874DF"/>
    <w:rsid w:val="05F45150"/>
    <w:rsid w:val="06750762"/>
    <w:rsid w:val="06E626B0"/>
    <w:rsid w:val="091C1539"/>
    <w:rsid w:val="09351272"/>
    <w:rsid w:val="09440A55"/>
    <w:rsid w:val="0B441E89"/>
    <w:rsid w:val="0BFE40FB"/>
    <w:rsid w:val="0C247777"/>
    <w:rsid w:val="0C8E789F"/>
    <w:rsid w:val="0D335F86"/>
    <w:rsid w:val="0DFD1B6F"/>
    <w:rsid w:val="0F1F1171"/>
    <w:rsid w:val="0F8B43A7"/>
    <w:rsid w:val="102E3D06"/>
    <w:rsid w:val="109A5DC0"/>
    <w:rsid w:val="10CF5EB4"/>
    <w:rsid w:val="115D7443"/>
    <w:rsid w:val="116A6B7F"/>
    <w:rsid w:val="1259268A"/>
    <w:rsid w:val="12A54F4D"/>
    <w:rsid w:val="132D1C83"/>
    <w:rsid w:val="13794251"/>
    <w:rsid w:val="1570780E"/>
    <w:rsid w:val="1609105D"/>
    <w:rsid w:val="161014DC"/>
    <w:rsid w:val="16634C12"/>
    <w:rsid w:val="16C26725"/>
    <w:rsid w:val="189A5F9C"/>
    <w:rsid w:val="197B4F5C"/>
    <w:rsid w:val="1995101B"/>
    <w:rsid w:val="1ABA7B44"/>
    <w:rsid w:val="1B623E0A"/>
    <w:rsid w:val="1BB50104"/>
    <w:rsid w:val="1C3C3AD9"/>
    <w:rsid w:val="1CB95289"/>
    <w:rsid w:val="1DBA2C3C"/>
    <w:rsid w:val="1F4733E3"/>
    <w:rsid w:val="1F751B72"/>
    <w:rsid w:val="1F81709C"/>
    <w:rsid w:val="21451911"/>
    <w:rsid w:val="231D3E86"/>
    <w:rsid w:val="254B2428"/>
    <w:rsid w:val="25633CE3"/>
    <w:rsid w:val="2592125E"/>
    <w:rsid w:val="26F75A21"/>
    <w:rsid w:val="27FE22DC"/>
    <w:rsid w:val="2819485B"/>
    <w:rsid w:val="28CA27E5"/>
    <w:rsid w:val="290B223D"/>
    <w:rsid w:val="295C51BA"/>
    <w:rsid w:val="2AA72A9D"/>
    <w:rsid w:val="2B331F5B"/>
    <w:rsid w:val="2B9F4A06"/>
    <w:rsid w:val="2C347667"/>
    <w:rsid w:val="2CB0694D"/>
    <w:rsid w:val="2CF90F92"/>
    <w:rsid w:val="2D6E2060"/>
    <w:rsid w:val="2DA22681"/>
    <w:rsid w:val="2DFB13CA"/>
    <w:rsid w:val="2E4C0EF1"/>
    <w:rsid w:val="2E762BF4"/>
    <w:rsid w:val="2E8B1098"/>
    <w:rsid w:val="2F432757"/>
    <w:rsid w:val="2FB136C4"/>
    <w:rsid w:val="2FFD0921"/>
    <w:rsid w:val="305C4B08"/>
    <w:rsid w:val="33A92512"/>
    <w:rsid w:val="34CB7A81"/>
    <w:rsid w:val="353E4115"/>
    <w:rsid w:val="359A5718"/>
    <w:rsid w:val="36DF4CA7"/>
    <w:rsid w:val="378F34F6"/>
    <w:rsid w:val="38141554"/>
    <w:rsid w:val="39762F47"/>
    <w:rsid w:val="39BD5040"/>
    <w:rsid w:val="3ACD5D3E"/>
    <w:rsid w:val="3ADA51FD"/>
    <w:rsid w:val="3B653A9F"/>
    <w:rsid w:val="3B7E25A9"/>
    <w:rsid w:val="3C450C1C"/>
    <w:rsid w:val="3F0E26E6"/>
    <w:rsid w:val="3F61569A"/>
    <w:rsid w:val="40F5553D"/>
    <w:rsid w:val="44122E6F"/>
    <w:rsid w:val="458E4B15"/>
    <w:rsid w:val="45C76287"/>
    <w:rsid w:val="47432DA4"/>
    <w:rsid w:val="47AB02AA"/>
    <w:rsid w:val="47AF5570"/>
    <w:rsid w:val="493A2188"/>
    <w:rsid w:val="496218D2"/>
    <w:rsid w:val="49F072F1"/>
    <w:rsid w:val="4A6B7B83"/>
    <w:rsid w:val="4C0B20EB"/>
    <w:rsid w:val="4C356F70"/>
    <w:rsid w:val="4C605414"/>
    <w:rsid w:val="4C9F6921"/>
    <w:rsid w:val="4CE621AF"/>
    <w:rsid w:val="4DC510D5"/>
    <w:rsid w:val="4E8B2EA6"/>
    <w:rsid w:val="4EF94E87"/>
    <w:rsid w:val="50691ADA"/>
    <w:rsid w:val="524129B8"/>
    <w:rsid w:val="535152B8"/>
    <w:rsid w:val="5354699B"/>
    <w:rsid w:val="53BA0F4B"/>
    <w:rsid w:val="560D7816"/>
    <w:rsid w:val="56110696"/>
    <w:rsid w:val="561E7BC9"/>
    <w:rsid w:val="56A31204"/>
    <w:rsid w:val="56BE16E4"/>
    <w:rsid w:val="581B0F72"/>
    <w:rsid w:val="589F171E"/>
    <w:rsid w:val="5B2861BF"/>
    <w:rsid w:val="5B2E6B88"/>
    <w:rsid w:val="5B867C14"/>
    <w:rsid w:val="5D14554B"/>
    <w:rsid w:val="5ECC2C57"/>
    <w:rsid w:val="5FBE24BF"/>
    <w:rsid w:val="602F091B"/>
    <w:rsid w:val="60CF5A18"/>
    <w:rsid w:val="6124095A"/>
    <w:rsid w:val="61621787"/>
    <w:rsid w:val="61C80A51"/>
    <w:rsid w:val="62511C80"/>
    <w:rsid w:val="62571D80"/>
    <w:rsid w:val="63855E3B"/>
    <w:rsid w:val="653C78A9"/>
    <w:rsid w:val="67CE6956"/>
    <w:rsid w:val="69232D45"/>
    <w:rsid w:val="69653055"/>
    <w:rsid w:val="69AD78CA"/>
    <w:rsid w:val="6A720A22"/>
    <w:rsid w:val="6A8C71BA"/>
    <w:rsid w:val="6BF61794"/>
    <w:rsid w:val="6C0F21D5"/>
    <w:rsid w:val="6F1B359F"/>
    <w:rsid w:val="6F96253A"/>
    <w:rsid w:val="70FC5CCE"/>
    <w:rsid w:val="71E906B6"/>
    <w:rsid w:val="722E760D"/>
    <w:rsid w:val="72D2121C"/>
    <w:rsid w:val="72F4238D"/>
    <w:rsid w:val="73431739"/>
    <w:rsid w:val="736531BD"/>
    <w:rsid w:val="73C64D7F"/>
    <w:rsid w:val="73D26494"/>
    <w:rsid w:val="759C6025"/>
    <w:rsid w:val="75FC71C8"/>
    <w:rsid w:val="760F7271"/>
    <w:rsid w:val="763D2256"/>
    <w:rsid w:val="7671605D"/>
    <w:rsid w:val="76B07BAC"/>
    <w:rsid w:val="76BE2A03"/>
    <w:rsid w:val="76D46C00"/>
    <w:rsid w:val="778D3C23"/>
    <w:rsid w:val="782B3132"/>
    <w:rsid w:val="787C0243"/>
    <w:rsid w:val="78AD1A1F"/>
    <w:rsid w:val="79FE464D"/>
    <w:rsid w:val="7A7153B0"/>
    <w:rsid w:val="7A9C02CD"/>
    <w:rsid w:val="7D167562"/>
    <w:rsid w:val="7E9D384B"/>
    <w:rsid w:val="7EBC3D3E"/>
    <w:rsid w:val="7F22248B"/>
    <w:rsid w:val="7F561A75"/>
    <w:rsid w:val="7FA102C1"/>
    <w:rsid w:val="7FAE7080"/>
    <w:rsid w:val="7FB5580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99" w:semiHidden="0" w:name="Body Text Indent 3"/>
    <w:lsdException w:uiPriority="0" w:name="Block Text"/>
    <w:lsdException w:qFormat="1" w:uiPriority="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55"/>
    <w:qFormat/>
    <w:uiPriority w:val="0"/>
    <w:pPr>
      <w:keepNext/>
      <w:keepLines/>
      <w:spacing w:before="340" w:after="330" w:line="578" w:lineRule="auto"/>
      <w:outlineLvl w:val="0"/>
    </w:pPr>
    <w:rPr>
      <w:rFonts w:ascii="Times New Roman" w:hAnsi="Times New Roman"/>
      <w:b/>
      <w:bCs/>
      <w:kern w:val="44"/>
      <w:sz w:val="44"/>
      <w:szCs w:val="44"/>
    </w:rPr>
  </w:style>
  <w:style w:type="paragraph" w:styleId="7">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unhideWhenUsed/>
    <w:qFormat/>
    <w:uiPriority w:val="9"/>
    <w:pPr>
      <w:keepNext/>
      <w:keepLines/>
      <w:spacing w:line="413" w:lineRule="auto"/>
      <w:outlineLvl w:val="2"/>
    </w:pPr>
    <w:rPr>
      <w:b/>
      <w:sz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link w:val="33"/>
    <w:unhideWhenUsed/>
    <w:qFormat/>
    <w:uiPriority w:val="0"/>
    <w:pPr>
      <w:spacing w:after="120"/>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caption"/>
    <w:basedOn w:val="1"/>
    <w:next w:val="1"/>
    <w:qFormat/>
    <w:uiPriority w:val="0"/>
    <w:rPr>
      <w:rFonts w:ascii="Cambria" w:hAnsi="Cambria" w:eastAsia="黑体" w:cs="黑体"/>
      <w:sz w:val="20"/>
      <w:szCs w:val="20"/>
    </w:rPr>
  </w:style>
  <w:style w:type="paragraph" w:styleId="10">
    <w:name w:val="Date"/>
    <w:basedOn w:val="1"/>
    <w:next w:val="1"/>
    <w:link w:val="43"/>
    <w:unhideWhenUsed/>
    <w:qFormat/>
    <w:uiPriority w:val="0"/>
    <w:pPr>
      <w:ind w:left="100" w:leftChars="2500"/>
    </w:pPr>
  </w:style>
  <w:style w:type="paragraph" w:styleId="11">
    <w:name w:val="Body Text Indent 2"/>
    <w:basedOn w:val="1"/>
    <w:qFormat/>
    <w:uiPriority w:val="0"/>
    <w:pPr>
      <w:spacing w:after="120" w:line="480" w:lineRule="auto"/>
      <w:ind w:left="420" w:leftChars="200"/>
    </w:pPr>
  </w:style>
  <w:style w:type="paragraph" w:styleId="12">
    <w:name w:val="endnote text"/>
    <w:basedOn w:val="1"/>
    <w:qFormat/>
    <w:uiPriority w:val="0"/>
    <w:pPr>
      <w:snapToGrid w:val="0"/>
      <w:jc w:val="left"/>
    </w:pPr>
  </w:style>
  <w:style w:type="paragraph" w:styleId="13">
    <w:name w:val="Balloon Text"/>
    <w:basedOn w:val="1"/>
    <w:link w:val="34"/>
    <w:unhideWhenUsed/>
    <w:qFormat/>
    <w:uiPriority w:val="99"/>
    <w:rPr>
      <w:kern w:val="0"/>
      <w:sz w:val="18"/>
      <w:szCs w:val="18"/>
    </w:rPr>
  </w:style>
  <w:style w:type="paragraph" w:styleId="14">
    <w:name w:val="footer"/>
    <w:basedOn w:val="1"/>
    <w:link w:val="35"/>
    <w:unhideWhenUsed/>
    <w:qFormat/>
    <w:uiPriority w:val="99"/>
    <w:pPr>
      <w:tabs>
        <w:tab w:val="center" w:pos="4153"/>
        <w:tab w:val="right" w:pos="8306"/>
      </w:tabs>
      <w:snapToGrid w:val="0"/>
      <w:jc w:val="left"/>
    </w:pPr>
    <w:rPr>
      <w:kern w:val="0"/>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link w:val="54"/>
    <w:unhideWhenUsed/>
    <w:qFormat/>
    <w:uiPriority w:val="39"/>
    <w:pPr>
      <w:keepNext w:val="0"/>
      <w:keepLines w:val="0"/>
      <w:widowControl/>
      <w:suppressLineNumbers w:val="0"/>
      <w:spacing w:before="0" w:beforeAutospacing="0" w:after="0" w:afterAutospacing="0"/>
      <w:ind w:left="0" w:right="0" w:firstLine="360"/>
      <w:jc w:val="left"/>
    </w:pPr>
    <w:rPr>
      <w:rFonts w:hint="default" w:ascii="Calibri" w:hAnsi="Calibri" w:eastAsia="宋体" w:cs="Times New Roman"/>
      <w:kern w:val="0"/>
      <w:sz w:val="22"/>
      <w:szCs w:val="22"/>
      <w:lang w:val="en-US" w:eastAsia="zh-CN" w:bidi="ar"/>
    </w:rPr>
  </w:style>
  <w:style w:type="paragraph" w:styleId="17">
    <w:name w:val="Subtitle"/>
    <w:basedOn w:val="1"/>
    <w:next w:val="1"/>
    <w:link w:val="38"/>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8">
    <w:name w:val="Body Text Indent 3"/>
    <w:basedOn w:val="1"/>
    <w:link w:val="36"/>
    <w:unhideWhenUsed/>
    <w:qFormat/>
    <w:uiPriority w:val="99"/>
    <w:pPr>
      <w:spacing w:after="120"/>
      <w:ind w:left="420" w:leftChars="200"/>
    </w:pPr>
    <w:rPr>
      <w:kern w:val="0"/>
      <w:sz w:val="16"/>
      <w:szCs w:val="16"/>
    </w:rPr>
  </w:style>
  <w:style w:type="paragraph" w:styleId="19">
    <w:name w:val="toc 2"/>
    <w:basedOn w:val="1"/>
    <w:next w:val="1"/>
    <w:unhideWhenUsed/>
    <w:qFormat/>
    <w:uiPriority w:val="39"/>
    <w:pPr>
      <w:ind w:left="420" w:leftChars="200"/>
    </w:pPr>
    <w:rPr>
      <w:rFonts w:ascii="Times New Roman" w:hAnsi="Times New Roman"/>
      <w:szCs w:val="20"/>
    </w:rPr>
  </w:style>
  <w:style w:type="paragraph" w:styleId="20">
    <w:name w:val="Normal (Web)"/>
    <w:basedOn w:val="1"/>
    <w:semiHidden/>
    <w:unhideWhenUsed/>
    <w:qFormat/>
    <w:uiPriority w:val="0"/>
    <w:rPr>
      <w:sz w:val="24"/>
    </w:rPr>
  </w:style>
  <w:style w:type="paragraph" w:styleId="21">
    <w:name w:val="Title"/>
    <w:basedOn w:val="1"/>
    <w:next w:val="1"/>
    <w:link w:val="56"/>
    <w:qFormat/>
    <w:uiPriority w:val="10"/>
    <w:pPr>
      <w:spacing w:before="240" w:after="60"/>
      <w:jc w:val="center"/>
      <w:outlineLvl w:val="0"/>
    </w:pPr>
    <w:rPr>
      <w:rFonts w:asciiTheme="majorHAnsi" w:hAnsiTheme="majorHAnsi" w:cstheme="majorBidi"/>
      <w:b/>
      <w:bCs/>
      <w:sz w:val="28"/>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page number"/>
    <w:basedOn w:val="24"/>
    <w:unhideWhenUsed/>
    <w:qFormat/>
    <w:uiPriority w:val="0"/>
  </w:style>
  <w:style w:type="character" w:styleId="26">
    <w:name w:val="FollowedHyperlink"/>
    <w:basedOn w:val="24"/>
    <w:unhideWhenUsed/>
    <w:qFormat/>
    <w:uiPriority w:val="0"/>
    <w:rPr>
      <w:color w:val="800080"/>
      <w:u w:val="single"/>
    </w:rPr>
  </w:style>
  <w:style w:type="character" w:styleId="27">
    <w:name w:val="Hyperlink"/>
    <w:basedOn w:val="24"/>
    <w:semiHidden/>
    <w:unhideWhenUsed/>
    <w:qFormat/>
    <w:uiPriority w:val="0"/>
    <w:rPr>
      <w:color w:val="0000FF"/>
      <w:u w:val="single"/>
    </w:rPr>
  </w:style>
  <w:style w:type="paragraph" w:customStyle="1" w:styleId="28">
    <w:name w:val="样式1"/>
    <w:basedOn w:val="12"/>
    <w:link w:val="42"/>
    <w:qFormat/>
    <w:uiPriority w:val="0"/>
    <w:rPr>
      <w:rFonts w:ascii="宋体" w:hAnsi="宋体" w:cs="宋体"/>
      <w:sz w:val="24"/>
      <w:szCs w:val="24"/>
    </w:rPr>
  </w:style>
  <w:style w:type="paragraph" w:customStyle="1" w:styleId="29">
    <w:name w:val="样式2"/>
    <w:basedOn w:val="18"/>
    <w:next w:val="28"/>
    <w:link w:val="44"/>
    <w:qFormat/>
    <w:uiPriority w:val="0"/>
    <w:pPr>
      <w:spacing w:after="0" w:line="360" w:lineRule="auto"/>
      <w:ind w:left="0" w:leftChars="0" w:firstLine="480" w:firstLineChars="200"/>
    </w:pPr>
    <w:rPr>
      <w:rFonts w:ascii="宋体" w:hAnsi="宋体" w:cs="宋体"/>
      <w:sz w:val="24"/>
      <w:szCs w:val="24"/>
    </w:rPr>
  </w:style>
  <w:style w:type="character" w:customStyle="1" w:styleId="30">
    <w:name w:val="标题 1 Char"/>
    <w:basedOn w:val="24"/>
    <w:link w:val="6"/>
    <w:qFormat/>
    <w:uiPriority w:val="0"/>
    <w:rPr>
      <w:b/>
      <w:bCs/>
      <w:kern w:val="44"/>
      <w:sz w:val="44"/>
      <w:szCs w:val="44"/>
    </w:rPr>
  </w:style>
  <w:style w:type="character" w:customStyle="1" w:styleId="31">
    <w:name w:val="标题 2 Char"/>
    <w:basedOn w:val="24"/>
    <w:link w:val="7"/>
    <w:qFormat/>
    <w:uiPriority w:val="9"/>
    <w:rPr>
      <w:rFonts w:asciiTheme="majorHAnsi" w:hAnsiTheme="majorHAnsi" w:eastAsiaTheme="majorEastAsia" w:cstheme="majorBidi"/>
      <w:b/>
      <w:bCs/>
      <w:kern w:val="2"/>
      <w:sz w:val="32"/>
      <w:szCs w:val="32"/>
    </w:rPr>
  </w:style>
  <w:style w:type="character" w:customStyle="1" w:styleId="32">
    <w:name w:val="页眉 Char"/>
    <w:link w:val="15"/>
    <w:qFormat/>
    <w:uiPriority w:val="99"/>
    <w:rPr>
      <w:rFonts w:ascii="Calibri" w:hAnsi="Calibri"/>
      <w:sz w:val="18"/>
      <w:szCs w:val="18"/>
    </w:rPr>
  </w:style>
  <w:style w:type="character" w:customStyle="1" w:styleId="33">
    <w:name w:val="正文文本缩进 Char"/>
    <w:link w:val="3"/>
    <w:semiHidden/>
    <w:qFormat/>
    <w:uiPriority w:val="0"/>
    <w:rPr>
      <w:rFonts w:ascii="Calibri" w:hAnsi="Calibri"/>
      <w:kern w:val="2"/>
      <w:sz w:val="21"/>
      <w:szCs w:val="22"/>
    </w:rPr>
  </w:style>
  <w:style w:type="character" w:customStyle="1" w:styleId="34">
    <w:name w:val="批注框文本 Char"/>
    <w:link w:val="13"/>
    <w:semiHidden/>
    <w:qFormat/>
    <w:uiPriority w:val="99"/>
    <w:rPr>
      <w:rFonts w:ascii="Calibri" w:hAnsi="Calibri" w:eastAsia="宋体" w:cs="Times New Roman"/>
      <w:sz w:val="18"/>
      <w:szCs w:val="18"/>
    </w:rPr>
  </w:style>
  <w:style w:type="character" w:customStyle="1" w:styleId="35">
    <w:name w:val="页脚 Char"/>
    <w:link w:val="14"/>
    <w:qFormat/>
    <w:uiPriority w:val="99"/>
    <w:rPr>
      <w:rFonts w:ascii="Calibri" w:hAnsi="Calibri" w:eastAsia="宋体" w:cs="Times New Roman"/>
      <w:sz w:val="18"/>
      <w:szCs w:val="18"/>
    </w:rPr>
  </w:style>
  <w:style w:type="character" w:customStyle="1" w:styleId="36">
    <w:name w:val="正文文本缩进 3 Char"/>
    <w:link w:val="18"/>
    <w:qFormat/>
    <w:uiPriority w:val="99"/>
    <w:rPr>
      <w:rFonts w:ascii="Calibri" w:hAnsi="Calibri" w:eastAsia="宋体" w:cs="Times New Roman"/>
      <w:sz w:val="16"/>
      <w:szCs w:val="16"/>
    </w:rPr>
  </w:style>
  <w:style w:type="character" w:customStyle="1" w:styleId="37">
    <w:name w:val="标题 Char"/>
    <w:basedOn w:val="24"/>
    <w:link w:val="21"/>
    <w:qFormat/>
    <w:uiPriority w:val="10"/>
    <w:rPr>
      <w:rFonts w:asciiTheme="majorHAnsi" w:hAnsiTheme="majorHAnsi" w:cstheme="majorBidi"/>
      <w:b/>
      <w:bCs/>
      <w:kern w:val="2"/>
      <w:sz w:val="28"/>
      <w:szCs w:val="32"/>
    </w:rPr>
  </w:style>
  <w:style w:type="character" w:customStyle="1" w:styleId="38">
    <w:name w:val="副标题 Char"/>
    <w:basedOn w:val="24"/>
    <w:link w:val="17"/>
    <w:qFormat/>
    <w:uiPriority w:val="11"/>
    <w:rPr>
      <w:rFonts w:asciiTheme="majorHAnsi" w:hAnsiTheme="majorHAnsi" w:cstheme="majorBidi"/>
      <w:bCs/>
      <w:kern w:val="28"/>
      <w:sz w:val="28"/>
      <w:szCs w:val="32"/>
    </w:rPr>
  </w:style>
  <w:style w:type="paragraph" w:customStyle="1" w:styleId="39">
    <w:name w:val="列出段落1"/>
    <w:basedOn w:val="1"/>
    <w:qFormat/>
    <w:uiPriority w:val="99"/>
    <w:pPr>
      <w:ind w:firstLine="420" w:firstLineChars="200"/>
    </w:pPr>
  </w:style>
  <w:style w:type="character" w:customStyle="1" w:styleId="40">
    <w:name w:val="apple-converted-space"/>
    <w:basedOn w:val="24"/>
    <w:qFormat/>
    <w:uiPriority w:val="0"/>
  </w:style>
  <w:style w:type="character" w:customStyle="1" w:styleId="41">
    <w:name w:val="fontstyle01"/>
    <w:basedOn w:val="24"/>
    <w:qFormat/>
    <w:uiPriority w:val="0"/>
    <w:rPr>
      <w:rFonts w:hint="eastAsia" w:ascii="宋体" w:hAnsi="宋体" w:eastAsia="宋体"/>
      <w:color w:val="000000"/>
      <w:sz w:val="24"/>
      <w:szCs w:val="24"/>
    </w:rPr>
  </w:style>
  <w:style w:type="character" w:customStyle="1" w:styleId="42">
    <w:name w:val="样式1 字符"/>
    <w:basedOn w:val="24"/>
    <w:link w:val="28"/>
    <w:qFormat/>
    <w:uiPriority w:val="0"/>
    <w:rPr>
      <w:rFonts w:ascii="宋体" w:hAnsi="宋体" w:cs="宋体"/>
      <w:kern w:val="2"/>
      <w:sz w:val="24"/>
      <w:szCs w:val="24"/>
    </w:rPr>
  </w:style>
  <w:style w:type="character" w:customStyle="1" w:styleId="43">
    <w:name w:val="日期 Char"/>
    <w:basedOn w:val="24"/>
    <w:link w:val="10"/>
    <w:semiHidden/>
    <w:qFormat/>
    <w:uiPriority w:val="0"/>
    <w:rPr>
      <w:rFonts w:ascii="Calibri" w:hAnsi="Calibri"/>
      <w:kern w:val="2"/>
      <w:sz w:val="21"/>
      <w:szCs w:val="22"/>
    </w:rPr>
  </w:style>
  <w:style w:type="character" w:customStyle="1" w:styleId="44">
    <w:name w:val="样式2 字符"/>
    <w:basedOn w:val="36"/>
    <w:link w:val="29"/>
    <w:qFormat/>
    <w:uiPriority w:val="0"/>
    <w:rPr>
      <w:rFonts w:ascii="宋体" w:hAnsi="宋体" w:eastAsia="宋体" w:cs="宋体"/>
      <w:sz w:val="24"/>
      <w:szCs w:val="24"/>
    </w:rPr>
  </w:style>
  <w:style w:type="paragraph" w:customStyle="1" w:styleId="45">
    <w:name w:val="样式3"/>
    <w:basedOn w:val="1"/>
    <w:link w:val="47"/>
    <w:qFormat/>
    <w:uiPriority w:val="0"/>
    <w:pPr>
      <w:spacing w:line="360" w:lineRule="auto"/>
      <w:ind w:firstLine="482" w:firstLineChars="201"/>
    </w:pPr>
    <w:rPr>
      <w:rFonts w:ascii="宋体" w:hAnsi="宋体"/>
      <w:sz w:val="24"/>
      <w:szCs w:val="24"/>
    </w:rPr>
  </w:style>
  <w:style w:type="character" w:customStyle="1" w:styleId="46">
    <w:name w:val="st1"/>
    <w:basedOn w:val="24"/>
    <w:qFormat/>
    <w:uiPriority w:val="0"/>
    <w:rPr>
      <w:rFonts w:cs="Times New Roman"/>
    </w:rPr>
  </w:style>
  <w:style w:type="character" w:customStyle="1" w:styleId="47">
    <w:name w:val="样式3 Char"/>
    <w:basedOn w:val="24"/>
    <w:link w:val="45"/>
    <w:qFormat/>
    <w:uiPriority w:val="0"/>
    <w:rPr>
      <w:rFonts w:ascii="宋体" w:hAnsi="宋体"/>
      <w:kern w:val="2"/>
      <w:sz w:val="24"/>
      <w:szCs w:val="24"/>
    </w:rPr>
  </w:style>
  <w:style w:type="paragraph" w:customStyle="1" w:styleId="48">
    <w:name w:val="样式4"/>
    <w:basedOn w:val="1"/>
    <w:link w:val="49"/>
    <w:qFormat/>
    <w:uiPriority w:val="0"/>
  </w:style>
  <w:style w:type="character" w:customStyle="1" w:styleId="49">
    <w:name w:val="样式4 Char"/>
    <w:basedOn w:val="24"/>
    <w:link w:val="48"/>
    <w:qFormat/>
    <w:uiPriority w:val="0"/>
    <w:rPr>
      <w:rFonts w:ascii="Calibri" w:hAnsi="Calibri"/>
      <w:kern w:val="2"/>
      <w:sz w:val="21"/>
      <w:szCs w:val="22"/>
    </w:rPr>
  </w:style>
  <w:style w:type="paragraph" w:customStyle="1" w:styleId="50">
    <w:name w:val="样式5"/>
    <w:basedOn w:val="1"/>
    <w:link w:val="51"/>
    <w:qFormat/>
    <w:uiPriority w:val="0"/>
  </w:style>
  <w:style w:type="character" w:customStyle="1" w:styleId="51">
    <w:name w:val="样式5 Char"/>
    <w:basedOn w:val="24"/>
    <w:link w:val="50"/>
    <w:qFormat/>
    <w:uiPriority w:val="0"/>
    <w:rPr>
      <w:rFonts w:ascii="Calibri" w:hAnsi="Calibri"/>
      <w:kern w:val="2"/>
      <w:sz w:val="21"/>
      <w:szCs w:val="22"/>
    </w:rPr>
  </w:style>
  <w:style w:type="paragraph" w:customStyle="1" w:styleId="52">
    <w:name w:val="样式6"/>
    <w:link w:val="53"/>
    <w:qFormat/>
    <w:uiPriority w:val="0"/>
    <w:rPr>
      <w:rFonts w:ascii="Calibri" w:hAnsi="Calibri" w:eastAsia="宋体" w:cs="Times New Roman"/>
      <w:sz w:val="18"/>
      <w:szCs w:val="18"/>
      <w:lang w:val="en-US" w:eastAsia="zh-CN" w:bidi="ar-SA"/>
    </w:rPr>
  </w:style>
  <w:style w:type="character" w:customStyle="1" w:styleId="53">
    <w:name w:val="样式6 Char"/>
    <w:basedOn w:val="24"/>
    <w:link w:val="52"/>
    <w:qFormat/>
    <w:uiPriority w:val="0"/>
    <w:rPr>
      <w:rFonts w:ascii="Calibri" w:hAnsi="Calibri"/>
      <w:sz w:val="18"/>
      <w:szCs w:val="18"/>
    </w:rPr>
  </w:style>
  <w:style w:type="character" w:customStyle="1" w:styleId="54">
    <w:name w:val="目录 1 Char"/>
    <w:basedOn w:val="24"/>
    <w:link w:val="16"/>
    <w:qFormat/>
    <w:uiPriority w:val="0"/>
    <w:rPr>
      <w:rFonts w:hint="default" w:ascii="Calibri" w:hAnsi="Calibri" w:cs="Calibri"/>
      <w:sz w:val="22"/>
      <w:szCs w:val="22"/>
      <w:lang w:eastAsia="en-US" w:bidi="en-US"/>
    </w:rPr>
  </w:style>
  <w:style w:type="character" w:customStyle="1" w:styleId="55">
    <w:name w:val="标题 1 字符"/>
    <w:link w:val="6"/>
    <w:qFormat/>
    <w:uiPriority w:val="0"/>
    <w:rPr>
      <w:rFonts w:ascii="Times New Roman" w:hAnsi="Times New Roman" w:eastAsia="宋体"/>
      <w:b/>
      <w:kern w:val="44"/>
      <w:sz w:val="28"/>
    </w:rPr>
  </w:style>
  <w:style w:type="character" w:customStyle="1" w:styleId="56">
    <w:name w:val="标题 字符"/>
    <w:basedOn w:val="24"/>
    <w:link w:val="21"/>
    <w:qFormat/>
    <w:uiPriority w:val="10"/>
    <w:rPr>
      <w:rFonts w:asciiTheme="majorHAnsi" w:hAnsiTheme="majorHAnsi" w:cstheme="majorBidi"/>
      <w:b/>
      <w:bCs/>
      <w:kern w:val="2"/>
      <w:sz w:val="28"/>
      <w:szCs w:val="32"/>
    </w:rPr>
  </w:style>
  <w:style w:type="paragraph" w:customStyle="1" w:styleId="57">
    <w:name w:val="Table Paragraph"/>
    <w:basedOn w:val="1"/>
    <w:qFormat/>
    <w:uiPriority w:val="0"/>
    <w:pPr>
      <w:autoSpaceDE w:val="0"/>
      <w:autoSpaceDN w:val="0"/>
      <w:jc w:val="left"/>
    </w:pPr>
    <w:rPr>
      <w:rFonts w:ascii="宋体" w:hAnsi="宋体" w:cs="宋体"/>
      <w:kern w:val="0"/>
      <w:sz w:val="22"/>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AE18A6-F843-46A5-8431-D195542B5D7E}">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36</Pages>
  <Words>10556</Words>
  <Characters>11547</Characters>
  <Lines>93</Lines>
  <Paragraphs>26</Paragraphs>
  <TotalTime>4</TotalTime>
  <ScaleCrop>false</ScaleCrop>
  <LinksUpToDate>false</LinksUpToDate>
  <CharactersWithSpaces>11836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2016-07-21T07:16:00Z</dcterms:created>
  <dc:creator>朱子建</dc:creator>
  <cp:lastModifiedBy>文印员</cp:lastModifiedBy>
  <cp:lastPrinted>2017-09-30T08:55:00Z</cp:lastPrinted>
  <dcterms:modified xsi:type="dcterms:W3CDTF">2024-04-18T07:32:55Z</dcterms:modified>
  <dc:title>萝岗区棠下榄园岭地块</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431C8D2369994A0EAD4C19B9EEC7C492</vt:lpwstr>
  </property>
</Properties>
</file>