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92D" w:rsidRPr="001238EA" w:rsidRDefault="001238EA" w:rsidP="001238EA">
      <w:pPr>
        <w:autoSpaceDE w:val="0"/>
        <w:autoSpaceDN w:val="0"/>
        <w:adjustRightInd w:val="0"/>
        <w:jc w:val="center"/>
        <w:rPr>
          <w:rFonts w:ascii="微软雅黑" w:eastAsia="微软雅黑" w:hAnsi="微软雅黑" w:cs="KaiTi"/>
          <w:b/>
          <w:kern w:val="0"/>
          <w:sz w:val="36"/>
          <w:szCs w:val="72"/>
        </w:rPr>
      </w:pPr>
      <w:r w:rsidRPr="001238EA">
        <w:rPr>
          <w:rFonts w:ascii="微软雅黑" w:eastAsia="微软雅黑" w:hAnsi="微软雅黑" w:cs="KaiTi" w:hint="eastAsia"/>
          <w:b/>
          <w:kern w:val="0"/>
          <w:sz w:val="36"/>
          <w:szCs w:val="72"/>
        </w:rPr>
        <w:t>广州市文物保护单位近代洋行仓库和码头旧址——太古仓旧址保护规划</w:t>
      </w:r>
      <w:r w:rsidRPr="001238EA">
        <w:rPr>
          <w:rFonts w:ascii="微软雅黑" w:eastAsia="微软雅黑" w:hAnsi="微软雅黑" w:cs="宋体" w:hint="eastAsia"/>
          <w:b/>
          <w:kern w:val="0"/>
          <w:sz w:val="36"/>
          <w:szCs w:val="72"/>
        </w:rPr>
        <w:t>（</w:t>
      </w:r>
      <w:r w:rsidRPr="001238EA">
        <w:rPr>
          <w:rFonts w:ascii="微软雅黑" w:eastAsia="微软雅黑" w:hAnsi="微软雅黑" w:cs="Times New Roman"/>
          <w:b/>
          <w:bCs/>
          <w:kern w:val="0"/>
          <w:sz w:val="36"/>
          <w:szCs w:val="72"/>
        </w:rPr>
        <w:t>2023</w:t>
      </w:r>
      <w:r w:rsidRPr="001238EA">
        <w:rPr>
          <w:rFonts w:ascii="微软雅黑" w:eastAsia="微软雅黑" w:hAnsi="微软雅黑" w:cs="TimesNewRomanPS-BoldMT" w:hint="eastAsia"/>
          <w:b/>
          <w:bCs/>
          <w:kern w:val="0"/>
          <w:sz w:val="36"/>
          <w:szCs w:val="72"/>
        </w:rPr>
        <w:t>—</w:t>
      </w:r>
      <w:r w:rsidRPr="001238EA">
        <w:rPr>
          <w:rFonts w:ascii="微软雅黑" w:eastAsia="微软雅黑" w:hAnsi="微软雅黑" w:cs="Times New Roman"/>
          <w:b/>
          <w:bCs/>
          <w:kern w:val="0"/>
          <w:sz w:val="36"/>
          <w:szCs w:val="72"/>
        </w:rPr>
        <w:t>2035</w:t>
      </w:r>
      <w:r w:rsidRPr="001238EA">
        <w:rPr>
          <w:rFonts w:ascii="微软雅黑" w:eastAsia="微软雅黑" w:hAnsi="微软雅黑" w:cs="宋体" w:hint="eastAsia"/>
          <w:b/>
          <w:kern w:val="0"/>
          <w:sz w:val="36"/>
          <w:szCs w:val="72"/>
        </w:rPr>
        <w:t>）</w:t>
      </w:r>
    </w:p>
    <w:p w:rsidR="00CC6498" w:rsidRDefault="00CC6498" w:rsidP="001238EA">
      <w:pPr>
        <w:jc w:val="center"/>
        <w:rPr>
          <w:rFonts w:ascii="微软雅黑" w:eastAsia="微软雅黑" w:hAnsi="微软雅黑" w:cs="KaiTi"/>
          <w:kern w:val="0"/>
          <w:sz w:val="36"/>
          <w:szCs w:val="72"/>
        </w:rPr>
      </w:pPr>
    </w:p>
    <w:p w:rsidR="001238EA" w:rsidRPr="00CC6498" w:rsidRDefault="001238EA" w:rsidP="001238EA">
      <w:pPr>
        <w:jc w:val="center"/>
        <w:rPr>
          <w:rFonts w:ascii="微软雅黑" w:eastAsia="微软雅黑" w:hAnsi="微软雅黑" w:cs="KaiTi"/>
          <w:kern w:val="0"/>
          <w:sz w:val="36"/>
          <w:szCs w:val="72"/>
        </w:rPr>
      </w:pPr>
      <w:r w:rsidRPr="00CC6498">
        <w:rPr>
          <w:rFonts w:ascii="微软雅黑" w:eastAsia="微软雅黑" w:hAnsi="微软雅黑" w:cs="KaiTi"/>
          <w:kern w:val="0"/>
          <w:sz w:val="36"/>
          <w:szCs w:val="72"/>
        </w:rPr>
        <w:t>主要内容与图纸</w:t>
      </w:r>
    </w:p>
    <w:p w:rsidR="001238EA" w:rsidRDefault="001238EA" w:rsidP="001238EA">
      <w:pPr>
        <w:pStyle w:val="1"/>
        <w:rPr>
          <w:rFonts w:ascii="微软雅黑" w:eastAsia="微软雅黑" w:hAnsi="微软雅黑"/>
          <w:b w:val="0"/>
          <w:sz w:val="32"/>
        </w:rPr>
      </w:pPr>
      <w:r w:rsidRPr="001238EA">
        <w:rPr>
          <w:rFonts w:ascii="微软雅黑" w:eastAsia="微软雅黑" w:hAnsi="微软雅黑" w:hint="eastAsia"/>
          <w:b w:val="0"/>
          <w:sz w:val="32"/>
        </w:rPr>
        <w:t>1、</w:t>
      </w:r>
      <w:r w:rsidR="00237BD0">
        <w:rPr>
          <w:rFonts w:ascii="微软雅黑" w:eastAsia="微软雅黑" w:hAnsi="微软雅黑" w:hint="eastAsia"/>
          <w:b w:val="0"/>
          <w:sz w:val="32"/>
        </w:rPr>
        <w:t>文物概况</w:t>
      </w:r>
    </w:p>
    <w:p w:rsidR="001238EA" w:rsidRPr="001238EA" w:rsidRDefault="001238EA" w:rsidP="000454DF">
      <w:pPr>
        <w:ind w:firstLineChars="200" w:firstLine="640"/>
        <w:rPr>
          <w:rFonts w:ascii="仿宋" w:eastAsia="仿宋" w:hAnsi="仿宋" w:cstheme="minorHAnsi" w:hint="eastAsia"/>
          <w:kern w:val="0"/>
          <w:sz w:val="32"/>
          <w:szCs w:val="72"/>
        </w:rPr>
      </w:pPr>
      <w:r w:rsidRPr="001238EA">
        <w:rPr>
          <w:rFonts w:ascii="仿宋" w:eastAsia="仿宋" w:hAnsi="仿宋" w:cstheme="minorHAnsi" w:hint="eastAsia"/>
          <w:kern w:val="0"/>
          <w:sz w:val="32"/>
          <w:szCs w:val="72"/>
        </w:rPr>
        <w:t>太古仓旧址，位于广东省广州市海珠区龙凤街道革新路</w:t>
      </w:r>
      <w:r>
        <w:rPr>
          <w:rFonts w:ascii="仿宋" w:eastAsia="仿宋" w:hAnsi="仿宋" w:cstheme="minorHAnsi"/>
          <w:kern w:val="0"/>
          <w:sz w:val="32"/>
          <w:szCs w:val="72"/>
        </w:rPr>
        <w:t>124</w:t>
      </w:r>
      <w:r w:rsidRPr="001238EA">
        <w:rPr>
          <w:rFonts w:ascii="仿宋" w:eastAsia="仿宋" w:hAnsi="仿宋" w:cstheme="minorHAnsi" w:hint="eastAsia"/>
          <w:kern w:val="0"/>
          <w:sz w:val="32"/>
          <w:szCs w:val="72"/>
        </w:rPr>
        <w:t>号，于</w:t>
      </w:r>
      <w:r>
        <w:rPr>
          <w:rFonts w:ascii="仿宋" w:eastAsia="仿宋" w:hAnsi="仿宋" w:cstheme="minorHAnsi"/>
          <w:kern w:val="0"/>
          <w:sz w:val="32"/>
          <w:szCs w:val="72"/>
        </w:rPr>
        <w:t>1904</w:t>
      </w:r>
      <w:r w:rsidRPr="001238EA">
        <w:rPr>
          <w:rFonts w:ascii="仿宋" w:eastAsia="仿宋" w:hAnsi="仿宋" w:cstheme="minorHAnsi" w:hint="eastAsia"/>
          <w:kern w:val="0"/>
          <w:sz w:val="32"/>
          <w:szCs w:val="72"/>
        </w:rPr>
        <w:t>年由英国太古洋行修建，至</w:t>
      </w:r>
      <w:r w:rsidR="00636856">
        <w:rPr>
          <w:rFonts w:ascii="仿宋" w:eastAsia="仿宋" w:hAnsi="仿宋" w:cstheme="minorHAnsi"/>
          <w:kern w:val="0"/>
          <w:sz w:val="32"/>
          <w:szCs w:val="72"/>
        </w:rPr>
        <w:t>1908</w:t>
      </w:r>
      <w:r w:rsidRPr="001238EA">
        <w:rPr>
          <w:rFonts w:ascii="仿宋" w:eastAsia="仿宋" w:hAnsi="仿宋" w:cstheme="minorHAnsi" w:hint="eastAsia"/>
          <w:kern w:val="0"/>
          <w:sz w:val="32"/>
          <w:szCs w:val="72"/>
        </w:rPr>
        <w:t>年建成。原为英国太古轮船公司码头仓库，故称“太古仓”。</w:t>
      </w:r>
      <w:r w:rsidRPr="001238EA">
        <w:rPr>
          <w:rFonts w:ascii="仿宋" w:eastAsia="仿宋" w:hAnsi="仿宋" w:cstheme="minorHAnsi"/>
          <w:kern w:val="0"/>
          <w:sz w:val="32"/>
          <w:szCs w:val="72"/>
        </w:rPr>
        <w:t>2008</w:t>
      </w:r>
      <w:r w:rsidRPr="001238EA">
        <w:rPr>
          <w:rFonts w:ascii="仿宋" w:eastAsia="仿宋" w:hAnsi="仿宋" w:cstheme="minorHAnsi" w:hint="eastAsia"/>
          <w:kern w:val="0"/>
          <w:sz w:val="32"/>
          <w:szCs w:val="72"/>
        </w:rPr>
        <w:t>年</w:t>
      </w:r>
      <w:r w:rsidR="00636856">
        <w:rPr>
          <w:rFonts w:ascii="仿宋" w:eastAsia="仿宋" w:hAnsi="仿宋" w:cstheme="minorHAnsi"/>
          <w:kern w:val="0"/>
          <w:sz w:val="32"/>
          <w:szCs w:val="72"/>
        </w:rPr>
        <w:t>12</w:t>
      </w:r>
      <w:r w:rsidRPr="001238EA">
        <w:rPr>
          <w:rFonts w:ascii="仿宋" w:eastAsia="仿宋" w:hAnsi="仿宋" w:cstheme="minorHAnsi" w:hint="eastAsia"/>
          <w:kern w:val="0"/>
          <w:sz w:val="32"/>
          <w:szCs w:val="72"/>
        </w:rPr>
        <w:t>月，太古仓旧址被公布为广州市文物保护单位，文物类型为近现代重要史迹及代表性建筑。</w:t>
      </w:r>
    </w:p>
    <w:p w:rsidR="001238EA" w:rsidRDefault="001238EA" w:rsidP="001238EA">
      <w:pPr>
        <w:pStyle w:val="1"/>
        <w:rPr>
          <w:rFonts w:ascii="微软雅黑" w:eastAsia="微软雅黑" w:hAnsi="微软雅黑"/>
          <w:b w:val="0"/>
          <w:sz w:val="32"/>
        </w:rPr>
      </w:pPr>
      <w:r>
        <w:rPr>
          <w:rFonts w:ascii="微软雅黑" w:eastAsia="微软雅黑" w:hAnsi="微软雅黑" w:hint="eastAsia"/>
          <w:b w:val="0"/>
          <w:sz w:val="32"/>
        </w:rPr>
        <w:t>2、</w:t>
      </w:r>
      <w:r w:rsidRPr="001238EA">
        <w:rPr>
          <w:rFonts w:ascii="微软雅黑" w:eastAsia="微软雅黑" w:hAnsi="微软雅黑" w:hint="eastAsia"/>
          <w:b w:val="0"/>
          <w:sz w:val="32"/>
        </w:rPr>
        <w:t>保护对象</w:t>
      </w:r>
    </w:p>
    <w:p w:rsidR="000454DF" w:rsidRP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规划范围内的保护对象由文物本体、周边环境和相关文化要素构成。</w:t>
      </w:r>
    </w:p>
    <w:p w:rsidR="000454DF" w:rsidRP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w:t>
      </w:r>
      <w:r>
        <w:rPr>
          <w:rFonts w:ascii="仿宋" w:eastAsia="仿宋" w:hAnsi="仿宋" w:cstheme="minorHAnsi" w:hint="eastAsia"/>
          <w:kern w:val="0"/>
          <w:sz w:val="32"/>
          <w:szCs w:val="72"/>
        </w:rPr>
        <w:t>1</w:t>
      </w:r>
      <w:r w:rsidRPr="000454DF">
        <w:rPr>
          <w:rFonts w:ascii="仿宋" w:eastAsia="仿宋" w:hAnsi="仿宋" w:cstheme="minorHAnsi" w:hint="eastAsia"/>
          <w:kern w:val="0"/>
          <w:sz w:val="32"/>
          <w:szCs w:val="72"/>
        </w:rPr>
        <w:t>）文物本体</w:t>
      </w:r>
    </w:p>
    <w:p w:rsidR="000454DF" w:rsidRP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文物本体包括太古仓仓库建筑</w:t>
      </w:r>
      <w:r w:rsidRPr="000454DF">
        <w:rPr>
          <w:rFonts w:ascii="仿宋" w:eastAsia="仿宋" w:hAnsi="仿宋" w:cstheme="minorHAnsi"/>
          <w:kern w:val="0"/>
          <w:sz w:val="32"/>
          <w:szCs w:val="72"/>
        </w:rPr>
        <w:t xml:space="preserve">6 </w:t>
      </w:r>
      <w:r w:rsidRPr="000454DF">
        <w:rPr>
          <w:rFonts w:ascii="仿宋" w:eastAsia="仿宋" w:hAnsi="仿宋" w:cstheme="minorHAnsi" w:hint="eastAsia"/>
          <w:kern w:val="0"/>
          <w:sz w:val="32"/>
          <w:szCs w:val="72"/>
        </w:rPr>
        <w:t>座（</w:t>
      </w:r>
      <w:r>
        <w:rPr>
          <w:rFonts w:ascii="仿宋" w:eastAsia="仿宋" w:hAnsi="仿宋" w:cstheme="minorHAnsi"/>
          <w:kern w:val="0"/>
          <w:sz w:val="32"/>
          <w:szCs w:val="72"/>
        </w:rPr>
        <w:t>1</w:t>
      </w:r>
      <w:r w:rsidRPr="000454DF">
        <w:rPr>
          <w:rFonts w:ascii="仿宋" w:eastAsia="仿宋" w:hAnsi="仿宋" w:cstheme="minorHAnsi" w:hint="eastAsia"/>
          <w:kern w:val="0"/>
          <w:sz w:val="32"/>
          <w:szCs w:val="72"/>
        </w:rPr>
        <w:t>号仓、</w:t>
      </w:r>
      <w:r>
        <w:rPr>
          <w:rFonts w:ascii="仿宋" w:eastAsia="仿宋" w:hAnsi="仿宋" w:cstheme="minorHAnsi"/>
          <w:kern w:val="0"/>
          <w:sz w:val="32"/>
          <w:szCs w:val="72"/>
        </w:rPr>
        <w:t>2</w:t>
      </w:r>
      <w:r w:rsidRPr="000454DF">
        <w:rPr>
          <w:rFonts w:ascii="仿宋" w:eastAsia="仿宋" w:hAnsi="仿宋" w:cstheme="minorHAnsi" w:hint="eastAsia"/>
          <w:kern w:val="0"/>
          <w:sz w:val="32"/>
          <w:szCs w:val="72"/>
        </w:rPr>
        <w:t>号仓、</w:t>
      </w:r>
      <w:r>
        <w:rPr>
          <w:rFonts w:ascii="仿宋" w:eastAsia="仿宋" w:hAnsi="仿宋" w:cstheme="minorHAnsi"/>
          <w:kern w:val="0"/>
          <w:sz w:val="32"/>
          <w:szCs w:val="72"/>
        </w:rPr>
        <w:t>3</w:t>
      </w:r>
      <w:r w:rsidRPr="000454DF">
        <w:rPr>
          <w:rFonts w:ascii="仿宋" w:eastAsia="仿宋" w:hAnsi="仿宋" w:cstheme="minorHAnsi" w:hint="eastAsia"/>
          <w:kern w:val="0"/>
          <w:sz w:val="32"/>
          <w:szCs w:val="72"/>
        </w:rPr>
        <w:t>号仓、</w:t>
      </w:r>
      <w:r>
        <w:rPr>
          <w:rFonts w:ascii="仿宋" w:eastAsia="仿宋" w:hAnsi="仿宋" w:cstheme="minorHAnsi"/>
          <w:kern w:val="0"/>
          <w:sz w:val="32"/>
          <w:szCs w:val="72"/>
        </w:rPr>
        <w:t>4</w:t>
      </w:r>
      <w:r w:rsidRPr="000454DF">
        <w:rPr>
          <w:rFonts w:ascii="仿宋" w:eastAsia="仿宋" w:hAnsi="仿宋" w:cstheme="minorHAnsi" w:hint="eastAsia"/>
          <w:kern w:val="0"/>
          <w:sz w:val="32"/>
          <w:szCs w:val="72"/>
        </w:rPr>
        <w:t>号仓、</w:t>
      </w:r>
      <w:r>
        <w:rPr>
          <w:rFonts w:ascii="仿宋" w:eastAsia="仿宋" w:hAnsi="仿宋" w:cstheme="minorHAnsi"/>
          <w:kern w:val="0"/>
          <w:sz w:val="32"/>
          <w:szCs w:val="72"/>
        </w:rPr>
        <w:t>5</w:t>
      </w:r>
      <w:r w:rsidRPr="000454DF">
        <w:rPr>
          <w:rFonts w:ascii="仿宋" w:eastAsia="仿宋" w:hAnsi="仿宋" w:cstheme="minorHAnsi" w:hint="eastAsia"/>
          <w:kern w:val="0"/>
          <w:sz w:val="32"/>
          <w:szCs w:val="72"/>
        </w:rPr>
        <w:t>号仓、</w:t>
      </w:r>
      <w:r w:rsidRPr="000454DF">
        <w:rPr>
          <w:rFonts w:ascii="仿宋" w:eastAsia="仿宋" w:hAnsi="仿宋" w:cstheme="minorHAnsi"/>
          <w:kern w:val="0"/>
          <w:sz w:val="32"/>
          <w:szCs w:val="72"/>
        </w:rPr>
        <w:t>6-7</w:t>
      </w:r>
      <w:r w:rsidRPr="000454DF">
        <w:rPr>
          <w:rFonts w:ascii="仿宋" w:eastAsia="仿宋" w:hAnsi="仿宋" w:cstheme="minorHAnsi" w:hint="eastAsia"/>
          <w:kern w:val="0"/>
          <w:sz w:val="32"/>
          <w:szCs w:val="72"/>
        </w:rPr>
        <w:t>号仓）、</w:t>
      </w:r>
      <w:r>
        <w:rPr>
          <w:rFonts w:ascii="仿宋" w:eastAsia="仿宋" w:hAnsi="仿宋" w:cstheme="minorHAnsi"/>
          <w:kern w:val="0"/>
          <w:sz w:val="32"/>
          <w:szCs w:val="72"/>
        </w:rPr>
        <w:t>T</w:t>
      </w:r>
      <w:r w:rsidRPr="000454DF">
        <w:rPr>
          <w:rFonts w:ascii="仿宋" w:eastAsia="仿宋" w:hAnsi="仿宋" w:cstheme="minorHAnsi" w:hint="eastAsia"/>
          <w:kern w:val="0"/>
          <w:sz w:val="32"/>
          <w:szCs w:val="72"/>
        </w:rPr>
        <w:t>字码头</w:t>
      </w:r>
      <w:r>
        <w:rPr>
          <w:rFonts w:ascii="仿宋" w:eastAsia="仿宋" w:hAnsi="仿宋" w:cstheme="minorHAnsi"/>
          <w:kern w:val="0"/>
          <w:sz w:val="32"/>
          <w:szCs w:val="72"/>
        </w:rPr>
        <w:t>3</w:t>
      </w:r>
      <w:r w:rsidRPr="000454DF">
        <w:rPr>
          <w:rFonts w:ascii="仿宋" w:eastAsia="仿宋" w:hAnsi="仿宋" w:cstheme="minorHAnsi" w:hint="eastAsia"/>
          <w:kern w:val="0"/>
          <w:sz w:val="32"/>
          <w:szCs w:val="72"/>
        </w:rPr>
        <w:t>座（</w:t>
      </w:r>
      <w:r>
        <w:rPr>
          <w:rFonts w:ascii="仿宋" w:eastAsia="仿宋" w:hAnsi="仿宋" w:cstheme="minorHAnsi"/>
          <w:kern w:val="0"/>
          <w:sz w:val="32"/>
          <w:szCs w:val="72"/>
        </w:rPr>
        <w:t>1</w:t>
      </w:r>
      <w:r w:rsidRPr="000454DF">
        <w:rPr>
          <w:rFonts w:ascii="仿宋" w:eastAsia="仿宋" w:hAnsi="仿宋" w:cstheme="minorHAnsi" w:hint="eastAsia"/>
          <w:kern w:val="0"/>
          <w:sz w:val="32"/>
          <w:szCs w:val="72"/>
        </w:rPr>
        <w:t>号码头、</w:t>
      </w:r>
      <w:r>
        <w:rPr>
          <w:rFonts w:ascii="仿宋" w:eastAsia="仿宋" w:hAnsi="仿宋" w:cstheme="minorHAnsi"/>
          <w:kern w:val="0"/>
          <w:sz w:val="32"/>
          <w:szCs w:val="72"/>
        </w:rPr>
        <w:t>2</w:t>
      </w:r>
      <w:r w:rsidRPr="000454DF">
        <w:rPr>
          <w:rFonts w:ascii="仿宋" w:eastAsia="仿宋" w:hAnsi="仿宋" w:cstheme="minorHAnsi" w:hint="eastAsia"/>
          <w:kern w:val="0"/>
          <w:sz w:val="32"/>
          <w:szCs w:val="72"/>
        </w:rPr>
        <w:t>号码头、</w:t>
      </w:r>
      <w:r>
        <w:rPr>
          <w:rFonts w:ascii="仿宋" w:eastAsia="仿宋" w:hAnsi="仿宋" w:cstheme="minorHAnsi"/>
          <w:kern w:val="0"/>
          <w:sz w:val="32"/>
          <w:szCs w:val="72"/>
        </w:rPr>
        <w:t>3</w:t>
      </w:r>
      <w:r w:rsidRPr="000454DF">
        <w:rPr>
          <w:rFonts w:ascii="仿宋" w:eastAsia="仿宋" w:hAnsi="仿宋" w:cstheme="minorHAnsi" w:hint="eastAsia"/>
          <w:kern w:val="0"/>
          <w:sz w:val="32"/>
          <w:szCs w:val="72"/>
        </w:rPr>
        <w:t>号码头）及码头前沿部分、水塔</w:t>
      </w:r>
      <w:r>
        <w:rPr>
          <w:rFonts w:ascii="仿宋" w:eastAsia="仿宋" w:hAnsi="仿宋" w:cstheme="minorHAnsi"/>
          <w:kern w:val="0"/>
          <w:sz w:val="32"/>
          <w:szCs w:val="72"/>
        </w:rPr>
        <w:t>1</w:t>
      </w:r>
      <w:r w:rsidRPr="000454DF">
        <w:rPr>
          <w:rFonts w:ascii="仿宋" w:eastAsia="仿宋" w:hAnsi="仿宋" w:cstheme="minorHAnsi" w:hint="eastAsia"/>
          <w:kern w:val="0"/>
          <w:sz w:val="32"/>
          <w:szCs w:val="72"/>
        </w:rPr>
        <w:t>座。</w:t>
      </w:r>
    </w:p>
    <w:p w:rsidR="000454DF" w:rsidRP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w:t>
      </w:r>
      <w:r>
        <w:rPr>
          <w:rFonts w:ascii="仿宋" w:eastAsia="仿宋" w:hAnsi="仿宋" w:cstheme="minorHAnsi" w:hint="eastAsia"/>
          <w:kern w:val="0"/>
          <w:sz w:val="32"/>
          <w:szCs w:val="72"/>
        </w:rPr>
        <w:t>2</w:t>
      </w:r>
      <w:r w:rsidRPr="000454DF">
        <w:rPr>
          <w:rFonts w:ascii="仿宋" w:eastAsia="仿宋" w:hAnsi="仿宋" w:cstheme="minorHAnsi" w:hint="eastAsia"/>
          <w:kern w:val="0"/>
          <w:sz w:val="32"/>
          <w:szCs w:val="72"/>
        </w:rPr>
        <w:t>）周边环境</w:t>
      </w:r>
    </w:p>
    <w:p w:rsidR="000454DF" w:rsidRP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太古仓旧址与珠江后航道两侧的其他近代洋行仓库和</w:t>
      </w:r>
      <w:r w:rsidRPr="000454DF">
        <w:rPr>
          <w:rFonts w:ascii="仿宋" w:eastAsia="仿宋" w:hAnsi="仿宋" w:cstheme="minorHAnsi" w:hint="eastAsia"/>
          <w:kern w:val="0"/>
          <w:sz w:val="32"/>
          <w:szCs w:val="72"/>
        </w:rPr>
        <w:lastRenderedPageBreak/>
        <w:t>码头旧址所构成的形成近代洋行仓库和码头旧址的历史格局。</w:t>
      </w:r>
    </w:p>
    <w:p w:rsidR="000454DF" w:rsidRP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w:t>
      </w:r>
      <w:r>
        <w:rPr>
          <w:rFonts w:ascii="仿宋" w:eastAsia="仿宋" w:hAnsi="仿宋" w:cstheme="minorHAnsi" w:hint="eastAsia"/>
          <w:kern w:val="0"/>
          <w:sz w:val="32"/>
          <w:szCs w:val="72"/>
        </w:rPr>
        <w:t>3</w:t>
      </w:r>
      <w:r w:rsidRPr="000454DF">
        <w:rPr>
          <w:rFonts w:ascii="仿宋" w:eastAsia="仿宋" w:hAnsi="仿宋" w:cstheme="minorHAnsi" w:hint="eastAsia"/>
          <w:kern w:val="0"/>
          <w:sz w:val="32"/>
          <w:szCs w:val="72"/>
        </w:rPr>
        <w:t>）相关文化要素</w:t>
      </w:r>
    </w:p>
    <w:p w:rsidR="001238EA" w:rsidRPr="000454DF" w:rsidRDefault="000454DF" w:rsidP="000454DF">
      <w:pPr>
        <w:ind w:firstLineChars="200" w:firstLine="640"/>
        <w:rPr>
          <w:rFonts w:ascii="仿宋" w:eastAsia="仿宋" w:hAnsi="仿宋" w:cstheme="minorHAnsi" w:hint="eastAsia"/>
          <w:kern w:val="0"/>
          <w:sz w:val="32"/>
          <w:szCs w:val="72"/>
        </w:rPr>
      </w:pPr>
      <w:r w:rsidRPr="000454DF">
        <w:rPr>
          <w:rFonts w:ascii="仿宋" w:eastAsia="仿宋" w:hAnsi="仿宋" w:cstheme="minorHAnsi" w:hint="eastAsia"/>
          <w:kern w:val="0"/>
          <w:sz w:val="32"/>
          <w:szCs w:val="72"/>
        </w:rPr>
        <w:t>与广州近代港口航运与对外贸易文化相关的文化要素。</w:t>
      </w:r>
    </w:p>
    <w:p w:rsidR="001238EA" w:rsidRDefault="000454DF" w:rsidP="001238EA">
      <w:pPr>
        <w:pStyle w:val="1"/>
        <w:rPr>
          <w:rFonts w:ascii="微软雅黑" w:eastAsia="微软雅黑" w:hAnsi="微软雅黑"/>
          <w:b w:val="0"/>
          <w:sz w:val="32"/>
        </w:rPr>
      </w:pPr>
      <w:r>
        <w:rPr>
          <w:rFonts w:ascii="微软雅黑" w:eastAsia="微软雅黑" w:hAnsi="微软雅黑"/>
          <w:b w:val="0"/>
          <w:sz w:val="32"/>
        </w:rPr>
        <w:t>3</w:t>
      </w:r>
      <w:r w:rsidR="001238EA" w:rsidRPr="001238EA">
        <w:rPr>
          <w:rFonts w:ascii="微软雅黑" w:eastAsia="微软雅黑" w:hAnsi="微软雅黑" w:hint="eastAsia"/>
          <w:b w:val="0"/>
          <w:sz w:val="32"/>
        </w:rPr>
        <w:t>、保护区划范围</w:t>
      </w:r>
    </w:p>
    <w:p w:rsid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本次规划</w:t>
      </w:r>
      <w:r>
        <w:rPr>
          <w:rFonts w:ascii="仿宋" w:eastAsia="仿宋" w:hAnsi="仿宋" w:cstheme="minorHAnsi" w:hint="eastAsia"/>
          <w:kern w:val="0"/>
          <w:sz w:val="32"/>
          <w:szCs w:val="72"/>
        </w:rPr>
        <w:t>中划定太古仓旧址两线范围如下：</w:t>
      </w:r>
    </w:p>
    <w:p w:rsidR="000454DF" w:rsidRPr="000454DF" w:rsidRDefault="000454DF" w:rsidP="000454DF">
      <w:pPr>
        <w:ind w:firstLineChars="200" w:firstLine="640"/>
        <w:rPr>
          <w:rFonts w:ascii="仿宋" w:eastAsia="仿宋" w:hAnsi="仿宋" w:cstheme="minorHAnsi"/>
          <w:kern w:val="0"/>
          <w:sz w:val="32"/>
          <w:szCs w:val="72"/>
        </w:rPr>
      </w:pPr>
      <w:r>
        <w:rPr>
          <w:rFonts w:ascii="仿宋" w:eastAsia="仿宋" w:hAnsi="仿宋" w:cstheme="minorHAnsi"/>
          <w:kern w:val="0"/>
          <w:sz w:val="32"/>
          <w:szCs w:val="72"/>
        </w:rPr>
        <w:t>保护范围：</w:t>
      </w:r>
      <w:r w:rsidRPr="000454DF">
        <w:rPr>
          <w:rFonts w:ascii="仿宋" w:eastAsia="仿宋" w:hAnsi="仿宋" w:cstheme="minorHAnsi" w:hint="eastAsia"/>
          <w:kern w:val="0"/>
          <w:sz w:val="32"/>
          <w:szCs w:val="72"/>
        </w:rPr>
        <w:t>从文物本体外缘向东、南、西、北各延伸</w:t>
      </w:r>
      <w:r w:rsidRPr="000454DF">
        <w:rPr>
          <w:rFonts w:ascii="仿宋" w:eastAsia="仿宋" w:hAnsi="仿宋" w:cstheme="minorHAnsi"/>
          <w:kern w:val="0"/>
          <w:sz w:val="32"/>
          <w:szCs w:val="72"/>
        </w:rPr>
        <w:t xml:space="preserve">5 </w:t>
      </w:r>
      <w:r w:rsidRPr="000454DF">
        <w:rPr>
          <w:rFonts w:ascii="仿宋" w:eastAsia="仿宋" w:hAnsi="仿宋" w:cstheme="minorHAnsi" w:hint="eastAsia"/>
          <w:kern w:val="0"/>
          <w:sz w:val="32"/>
          <w:szCs w:val="72"/>
        </w:rPr>
        <w:t>米，面积</w:t>
      </w:r>
      <w:r>
        <w:rPr>
          <w:rFonts w:ascii="仿宋" w:eastAsia="仿宋" w:hAnsi="仿宋" w:cstheme="minorHAnsi"/>
          <w:kern w:val="0"/>
          <w:sz w:val="32"/>
          <w:szCs w:val="72"/>
        </w:rPr>
        <w:t>39155</w:t>
      </w:r>
      <w:r w:rsidRPr="000454DF">
        <w:rPr>
          <w:rFonts w:ascii="仿宋" w:eastAsia="仿宋" w:hAnsi="仿宋" w:cstheme="minorHAnsi" w:hint="eastAsia"/>
          <w:kern w:val="0"/>
          <w:sz w:val="32"/>
          <w:szCs w:val="72"/>
        </w:rPr>
        <w:t>㎡；</w:t>
      </w:r>
    </w:p>
    <w:p w:rsidR="000454DF" w:rsidRPr="000454DF" w:rsidRDefault="000454DF" w:rsidP="000454DF">
      <w:pPr>
        <w:ind w:firstLineChars="200" w:firstLine="640"/>
        <w:rPr>
          <w:rFonts w:ascii="仿宋" w:eastAsia="仿宋" w:hAnsi="仿宋" w:cstheme="minorHAnsi"/>
          <w:kern w:val="0"/>
          <w:sz w:val="32"/>
          <w:szCs w:val="72"/>
        </w:rPr>
      </w:pPr>
      <w:r w:rsidRPr="000454DF">
        <w:rPr>
          <w:rFonts w:ascii="仿宋" w:eastAsia="仿宋" w:hAnsi="仿宋" w:cstheme="minorHAnsi" w:hint="eastAsia"/>
          <w:kern w:val="0"/>
          <w:sz w:val="32"/>
          <w:szCs w:val="72"/>
        </w:rPr>
        <w:t>建设控制地带：从保护范围向东、南、西、北各延伸</w:t>
      </w:r>
      <w:r w:rsidRPr="000454DF">
        <w:rPr>
          <w:rFonts w:ascii="仿宋" w:eastAsia="仿宋" w:hAnsi="仿宋" w:cstheme="minorHAnsi"/>
          <w:kern w:val="0"/>
          <w:sz w:val="32"/>
          <w:szCs w:val="72"/>
        </w:rPr>
        <w:t xml:space="preserve">30 </w:t>
      </w:r>
      <w:r w:rsidRPr="000454DF">
        <w:rPr>
          <w:rFonts w:ascii="仿宋" w:eastAsia="仿宋" w:hAnsi="仿宋" w:cstheme="minorHAnsi" w:hint="eastAsia"/>
          <w:kern w:val="0"/>
          <w:sz w:val="32"/>
          <w:szCs w:val="72"/>
        </w:rPr>
        <w:t>米，面积</w:t>
      </w:r>
      <w:r>
        <w:rPr>
          <w:rFonts w:ascii="仿宋" w:eastAsia="仿宋" w:hAnsi="仿宋" w:cstheme="minorHAnsi"/>
          <w:kern w:val="0"/>
          <w:sz w:val="32"/>
          <w:szCs w:val="72"/>
        </w:rPr>
        <w:t>68456</w:t>
      </w:r>
      <w:r w:rsidRPr="000454DF">
        <w:rPr>
          <w:rFonts w:ascii="仿宋" w:eastAsia="仿宋" w:hAnsi="仿宋" w:cstheme="minorHAnsi" w:hint="eastAsia"/>
          <w:kern w:val="0"/>
          <w:sz w:val="32"/>
          <w:szCs w:val="72"/>
        </w:rPr>
        <w:t>㎡（含保护范围面积）；</w:t>
      </w:r>
    </w:p>
    <w:p w:rsidR="000454DF" w:rsidRPr="00237BD0" w:rsidRDefault="000454DF" w:rsidP="00237BD0">
      <w:pPr>
        <w:ind w:firstLineChars="200" w:firstLine="640"/>
        <w:rPr>
          <w:rFonts w:ascii="仿宋" w:eastAsia="仿宋" w:hAnsi="仿宋" w:cstheme="minorHAnsi" w:hint="eastAsia"/>
          <w:kern w:val="0"/>
          <w:sz w:val="32"/>
          <w:szCs w:val="72"/>
        </w:rPr>
      </w:pPr>
      <w:r w:rsidRPr="000454DF">
        <w:rPr>
          <w:rFonts w:ascii="仿宋" w:eastAsia="仿宋" w:hAnsi="仿宋" w:cstheme="minorHAnsi" w:hint="eastAsia"/>
          <w:kern w:val="0"/>
          <w:sz w:val="32"/>
          <w:szCs w:val="72"/>
        </w:rPr>
        <w:t>保护区划总面积：</w:t>
      </w:r>
      <w:r>
        <w:rPr>
          <w:rFonts w:ascii="仿宋" w:eastAsia="仿宋" w:hAnsi="仿宋" w:cstheme="minorHAnsi"/>
          <w:kern w:val="0"/>
          <w:sz w:val="32"/>
          <w:szCs w:val="72"/>
        </w:rPr>
        <w:t>68456</w:t>
      </w:r>
      <w:r w:rsidRPr="000454DF">
        <w:rPr>
          <w:rFonts w:ascii="仿宋" w:eastAsia="仿宋" w:hAnsi="仿宋" w:cstheme="minorHAnsi" w:hint="eastAsia"/>
          <w:kern w:val="0"/>
          <w:sz w:val="32"/>
          <w:szCs w:val="72"/>
        </w:rPr>
        <w:t>㎡。</w:t>
      </w:r>
    </w:p>
    <w:p w:rsidR="000454DF" w:rsidRDefault="0087491C" w:rsidP="0087491C">
      <w:pPr>
        <w:pStyle w:val="1"/>
        <w:rPr>
          <w:rFonts w:ascii="微软雅黑" w:eastAsia="微软雅黑" w:hAnsi="微软雅黑"/>
          <w:b w:val="0"/>
          <w:sz w:val="32"/>
        </w:rPr>
      </w:pPr>
      <w:r w:rsidRPr="0087491C">
        <w:rPr>
          <w:rFonts w:ascii="微软雅黑" w:eastAsia="微软雅黑" w:hAnsi="微软雅黑" w:hint="eastAsia"/>
          <w:b w:val="0"/>
          <w:sz w:val="32"/>
        </w:rPr>
        <w:t>4、保护区划管理规定</w:t>
      </w:r>
    </w:p>
    <w:p w:rsidR="0087491C" w:rsidRPr="0087491C" w:rsidRDefault="0087491C" w:rsidP="0087491C">
      <w:pPr>
        <w:pStyle w:val="a3"/>
        <w:numPr>
          <w:ilvl w:val="0"/>
          <w:numId w:val="3"/>
        </w:numPr>
        <w:ind w:firstLineChars="0"/>
        <w:rPr>
          <w:rFonts w:ascii="仿宋" w:eastAsia="仿宋" w:hAnsi="仿宋" w:cstheme="minorHAnsi"/>
          <w:kern w:val="0"/>
          <w:sz w:val="32"/>
          <w:szCs w:val="72"/>
        </w:rPr>
      </w:pPr>
      <w:r w:rsidRPr="0087491C">
        <w:rPr>
          <w:rFonts w:ascii="仿宋" w:eastAsia="仿宋" w:hAnsi="仿宋" w:cstheme="minorHAnsi" w:hint="eastAsia"/>
          <w:kern w:val="0"/>
          <w:sz w:val="32"/>
          <w:szCs w:val="72"/>
        </w:rPr>
        <w:t>文物本体管理规定</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hint="eastAsia"/>
          <w:kern w:val="0"/>
          <w:sz w:val="32"/>
          <w:szCs w:val="72"/>
        </w:rPr>
        <w:t>（1）</w:t>
      </w:r>
      <w:r w:rsidRPr="0087491C">
        <w:rPr>
          <w:rFonts w:ascii="仿宋" w:eastAsia="仿宋" w:hAnsi="仿宋" w:cstheme="minorHAnsi" w:hint="eastAsia"/>
          <w:kern w:val="0"/>
          <w:sz w:val="32"/>
          <w:szCs w:val="72"/>
        </w:rPr>
        <w:t>对太古仓旧址文物建筑进行修缮，应当报广州市文物行政部门批准，修缮工程由取得文物保护工程资质证书的单位承担。对不可移动文物进行修缮必须遵守不改变文物原状的原则。</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kern w:val="0"/>
          <w:sz w:val="32"/>
          <w:szCs w:val="72"/>
        </w:rPr>
        <w:t>（</w:t>
      </w:r>
      <w:r>
        <w:rPr>
          <w:rFonts w:ascii="仿宋" w:eastAsia="仿宋" w:hAnsi="仿宋" w:cstheme="minorHAnsi" w:hint="eastAsia"/>
          <w:kern w:val="0"/>
          <w:sz w:val="32"/>
          <w:szCs w:val="72"/>
        </w:rPr>
        <w:t>2</w:t>
      </w:r>
      <w:r>
        <w:rPr>
          <w:rFonts w:ascii="仿宋" w:eastAsia="仿宋" w:hAnsi="仿宋" w:cstheme="minorHAnsi"/>
          <w:kern w:val="0"/>
          <w:sz w:val="32"/>
          <w:szCs w:val="72"/>
        </w:rPr>
        <w:t>）</w:t>
      </w:r>
      <w:r w:rsidRPr="0087491C">
        <w:rPr>
          <w:rFonts w:ascii="仿宋" w:eastAsia="仿宋" w:hAnsi="仿宋" w:cstheme="minorHAnsi" w:hint="eastAsia"/>
          <w:kern w:val="0"/>
          <w:sz w:val="32"/>
          <w:szCs w:val="72"/>
        </w:rPr>
        <w:t>使用太古仓旧址文物本体建筑时必须遵守不改变文物原状的原则，文物管理机构及使用者负责保护文物本体</w:t>
      </w:r>
      <w:r w:rsidRPr="0087491C">
        <w:rPr>
          <w:rFonts w:ascii="仿宋" w:eastAsia="仿宋" w:hAnsi="仿宋" w:cstheme="minorHAnsi" w:hint="eastAsia"/>
          <w:kern w:val="0"/>
          <w:sz w:val="32"/>
          <w:szCs w:val="72"/>
        </w:rPr>
        <w:lastRenderedPageBreak/>
        <w:t>的安全，不得损毁、改建、添建或者拆除文物，不得对文物外立面造成破坏或过度遮挡。</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hint="eastAsia"/>
          <w:kern w:val="0"/>
          <w:sz w:val="32"/>
          <w:szCs w:val="72"/>
        </w:rPr>
        <w:t>（3）</w:t>
      </w:r>
      <w:r w:rsidRPr="0087491C">
        <w:rPr>
          <w:rFonts w:ascii="仿宋" w:eastAsia="仿宋" w:hAnsi="仿宋" w:cstheme="minorHAnsi" w:hint="eastAsia"/>
          <w:kern w:val="0"/>
          <w:sz w:val="32"/>
          <w:szCs w:val="72"/>
        </w:rPr>
        <w:t>文物的保护工程，必须按照《文物保护法》、《文物保护法实施条例》和《文物报工程管理办法》的规定执行，由具备相应资质的设计单位进行设计，设计方案须报经广州市文物行政部门批准，由具备相应资质的施工单位进行施工。</w:t>
      </w:r>
    </w:p>
    <w:p w:rsidR="0087491C" w:rsidRPr="0087491C" w:rsidRDefault="0087491C" w:rsidP="0087491C">
      <w:pPr>
        <w:pStyle w:val="a3"/>
        <w:numPr>
          <w:ilvl w:val="0"/>
          <w:numId w:val="2"/>
        </w:numPr>
        <w:ind w:firstLineChars="0"/>
        <w:rPr>
          <w:rFonts w:ascii="仿宋" w:eastAsia="仿宋" w:hAnsi="仿宋" w:cstheme="minorHAnsi"/>
          <w:kern w:val="0"/>
          <w:sz w:val="32"/>
          <w:szCs w:val="72"/>
        </w:rPr>
      </w:pPr>
      <w:r w:rsidRPr="0087491C">
        <w:rPr>
          <w:rFonts w:ascii="仿宋" w:eastAsia="仿宋" w:hAnsi="仿宋" w:cstheme="minorHAnsi" w:hint="eastAsia"/>
          <w:kern w:val="0"/>
          <w:sz w:val="32"/>
          <w:szCs w:val="72"/>
        </w:rPr>
        <w:t>保护范围管理规定</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hint="eastAsia"/>
          <w:kern w:val="0"/>
          <w:sz w:val="32"/>
          <w:szCs w:val="72"/>
        </w:rPr>
        <w:t>（1）</w:t>
      </w:r>
      <w:r w:rsidRPr="0087491C">
        <w:rPr>
          <w:rFonts w:ascii="仿宋" w:eastAsia="仿宋" w:hAnsi="仿宋" w:cstheme="minorHAnsi" w:hint="eastAsia"/>
          <w:kern w:val="0"/>
          <w:sz w:val="32"/>
          <w:szCs w:val="72"/>
        </w:rPr>
        <w:t>太古仓旧址保护范围内不得进行其他建设工程或者爆破、钻探、挖掘等作业。但是，因特殊情况需要在文物保护单位的保护范围内进行其他建设工程或者爆破、钻探、挖掘等作业的，必须保证文物保护单位的安全，并经广州市人民政府批准，在批准前应当征得广东省人民政府文物行政部门同意。</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hint="eastAsia"/>
          <w:kern w:val="0"/>
          <w:sz w:val="32"/>
          <w:szCs w:val="72"/>
        </w:rPr>
        <w:t>（2）</w:t>
      </w:r>
      <w:r w:rsidRPr="0087491C">
        <w:rPr>
          <w:rFonts w:ascii="仿宋" w:eastAsia="仿宋" w:hAnsi="仿宋" w:cstheme="minorHAnsi" w:hint="eastAsia"/>
          <w:kern w:val="0"/>
          <w:sz w:val="32"/>
          <w:szCs w:val="72"/>
        </w:rPr>
        <w:t>保护范围内的保护、展示、利用工程设计方案必须确保文物本体的安全性、符合各类工程的规范要求，工程形象应符合文物的历史文化价值和内涵。工程方案必须按法定程序报相关行政主管部门批准后方可实施。应尽可能利用现有建筑和设施，并不得影响文物安全，不得污染文物及其环境，不得破坏景观风貌。</w:t>
      </w:r>
    </w:p>
    <w:p w:rsidR="0087491C" w:rsidRPr="0087491C" w:rsidRDefault="0087491C" w:rsidP="0087491C">
      <w:pPr>
        <w:pStyle w:val="a3"/>
        <w:numPr>
          <w:ilvl w:val="0"/>
          <w:numId w:val="1"/>
        </w:numPr>
        <w:ind w:firstLineChars="0"/>
        <w:rPr>
          <w:rFonts w:ascii="仿宋" w:eastAsia="仿宋" w:hAnsi="仿宋" w:cstheme="minorHAnsi"/>
          <w:kern w:val="0"/>
          <w:sz w:val="32"/>
          <w:szCs w:val="72"/>
        </w:rPr>
      </w:pPr>
      <w:r w:rsidRPr="0087491C">
        <w:rPr>
          <w:rFonts w:ascii="仿宋" w:eastAsia="仿宋" w:hAnsi="仿宋" w:cstheme="minorHAnsi" w:hint="eastAsia"/>
          <w:kern w:val="0"/>
          <w:sz w:val="32"/>
          <w:szCs w:val="72"/>
        </w:rPr>
        <w:t>建设控制地带管理规定</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hint="eastAsia"/>
          <w:kern w:val="0"/>
          <w:sz w:val="32"/>
          <w:szCs w:val="72"/>
        </w:rPr>
        <w:t>（1）</w:t>
      </w:r>
      <w:r w:rsidRPr="0087491C">
        <w:rPr>
          <w:rFonts w:ascii="仿宋" w:eastAsia="仿宋" w:hAnsi="仿宋" w:cstheme="minorHAnsi" w:hint="eastAsia"/>
          <w:kern w:val="0"/>
          <w:sz w:val="32"/>
          <w:szCs w:val="72"/>
        </w:rPr>
        <w:t>在太古仓旧址的建设控制地带内进行建设工程，不得破坏太古仓旧址的历史风貌；工程设计方案应当根据文物</w:t>
      </w:r>
      <w:r w:rsidRPr="0087491C">
        <w:rPr>
          <w:rFonts w:ascii="仿宋" w:eastAsia="仿宋" w:hAnsi="仿宋" w:cstheme="minorHAnsi" w:hint="eastAsia"/>
          <w:kern w:val="0"/>
          <w:sz w:val="32"/>
          <w:szCs w:val="72"/>
        </w:rPr>
        <w:lastRenderedPageBreak/>
        <w:t>保护单位的级别，经相应的文物行政部门同意后，报城乡建设规划部门批准；</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kern w:val="0"/>
          <w:sz w:val="32"/>
          <w:szCs w:val="72"/>
        </w:rPr>
        <w:t>（</w:t>
      </w:r>
      <w:r>
        <w:rPr>
          <w:rFonts w:ascii="仿宋" w:eastAsia="仿宋" w:hAnsi="仿宋" w:cstheme="minorHAnsi" w:hint="eastAsia"/>
          <w:kern w:val="0"/>
          <w:sz w:val="32"/>
          <w:szCs w:val="72"/>
        </w:rPr>
        <w:t>2</w:t>
      </w:r>
      <w:r>
        <w:rPr>
          <w:rFonts w:ascii="仿宋" w:eastAsia="仿宋" w:hAnsi="仿宋" w:cstheme="minorHAnsi"/>
          <w:kern w:val="0"/>
          <w:sz w:val="32"/>
          <w:szCs w:val="72"/>
        </w:rPr>
        <w:t>）</w:t>
      </w:r>
      <w:r w:rsidRPr="0087491C">
        <w:rPr>
          <w:rFonts w:ascii="仿宋" w:eastAsia="仿宋" w:hAnsi="仿宋" w:cstheme="minorHAnsi" w:hint="eastAsia"/>
          <w:kern w:val="0"/>
          <w:sz w:val="32"/>
          <w:szCs w:val="72"/>
        </w:rPr>
        <w:t>建设控制地带控制目标为保护和保持文物所依托的重要环境特色。在建设控制地带内，不得建设污染文物保护单位及其环境的设施，不得进行可能影响太古仓旧址安全及其环境的活动。对已有的污染文物保护单位及其环境的设施，应当限期治理。</w:t>
      </w:r>
    </w:p>
    <w:p w:rsidR="0087491C" w:rsidRPr="0087491C" w:rsidRDefault="0087491C" w:rsidP="0087491C">
      <w:pPr>
        <w:ind w:firstLineChars="200" w:firstLine="640"/>
        <w:rPr>
          <w:rFonts w:ascii="仿宋" w:eastAsia="仿宋" w:hAnsi="仿宋" w:cstheme="minorHAnsi"/>
          <w:kern w:val="0"/>
          <w:sz w:val="32"/>
          <w:szCs w:val="72"/>
        </w:rPr>
      </w:pPr>
      <w:r>
        <w:rPr>
          <w:rFonts w:ascii="仿宋" w:eastAsia="仿宋" w:hAnsi="仿宋" w:cstheme="minorHAnsi"/>
          <w:kern w:val="0"/>
          <w:sz w:val="32"/>
          <w:szCs w:val="72"/>
        </w:rPr>
        <w:t>（</w:t>
      </w:r>
      <w:r>
        <w:rPr>
          <w:rFonts w:ascii="仿宋" w:eastAsia="仿宋" w:hAnsi="仿宋" w:cstheme="minorHAnsi" w:hint="eastAsia"/>
          <w:kern w:val="0"/>
          <w:sz w:val="32"/>
          <w:szCs w:val="72"/>
        </w:rPr>
        <w:t>3</w:t>
      </w:r>
      <w:r>
        <w:rPr>
          <w:rFonts w:ascii="仿宋" w:eastAsia="仿宋" w:hAnsi="仿宋" w:cstheme="minorHAnsi"/>
          <w:kern w:val="0"/>
          <w:sz w:val="32"/>
          <w:szCs w:val="72"/>
        </w:rPr>
        <w:t>）</w:t>
      </w:r>
      <w:r w:rsidRPr="0087491C">
        <w:rPr>
          <w:rFonts w:ascii="仿宋" w:eastAsia="仿宋" w:hAnsi="仿宋" w:cstheme="minorHAnsi" w:hint="eastAsia"/>
          <w:kern w:val="0"/>
          <w:sz w:val="32"/>
          <w:szCs w:val="72"/>
        </w:rPr>
        <w:t>为保证文物本体不完全受遮挡，太古仓旧址建设控制地带内新建建（构）筑高度不得超过</w:t>
      </w:r>
      <w:r w:rsidRPr="0087491C">
        <w:rPr>
          <w:rFonts w:ascii="仿宋" w:eastAsia="仿宋" w:hAnsi="仿宋" w:cstheme="minorHAnsi"/>
          <w:kern w:val="0"/>
          <w:sz w:val="32"/>
          <w:szCs w:val="72"/>
        </w:rPr>
        <w:t xml:space="preserve">6.6 </w:t>
      </w:r>
      <w:r w:rsidRPr="0087491C">
        <w:rPr>
          <w:rFonts w:ascii="仿宋" w:eastAsia="仿宋" w:hAnsi="仿宋" w:cstheme="minorHAnsi" w:hint="eastAsia"/>
          <w:kern w:val="0"/>
          <w:sz w:val="32"/>
          <w:szCs w:val="72"/>
        </w:rPr>
        <w:t>米。</w:t>
      </w:r>
    </w:p>
    <w:p w:rsidR="0087491C" w:rsidRPr="0087491C" w:rsidRDefault="0087491C" w:rsidP="0087491C">
      <w:pPr>
        <w:ind w:firstLineChars="200" w:firstLine="640"/>
        <w:rPr>
          <w:rFonts w:ascii="仿宋" w:eastAsia="仿宋" w:hAnsi="仿宋" w:cstheme="minorHAnsi" w:hint="eastAsia"/>
          <w:kern w:val="0"/>
          <w:sz w:val="32"/>
          <w:szCs w:val="72"/>
        </w:rPr>
      </w:pPr>
      <w:r>
        <w:rPr>
          <w:rFonts w:ascii="仿宋" w:eastAsia="仿宋" w:hAnsi="仿宋" w:cstheme="minorHAnsi"/>
          <w:kern w:val="0"/>
          <w:sz w:val="32"/>
          <w:szCs w:val="72"/>
        </w:rPr>
        <w:t>（</w:t>
      </w:r>
      <w:r>
        <w:rPr>
          <w:rFonts w:ascii="仿宋" w:eastAsia="仿宋" w:hAnsi="仿宋" w:cstheme="minorHAnsi" w:hint="eastAsia"/>
          <w:kern w:val="0"/>
          <w:sz w:val="32"/>
          <w:szCs w:val="72"/>
        </w:rPr>
        <w:t>4</w:t>
      </w:r>
      <w:r>
        <w:rPr>
          <w:rFonts w:ascii="仿宋" w:eastAsia="仿宋" w:hAnsi="仿宋" w:cstheme="minorHAnsi"/>
          <w:kern w:val="0"/>
          <w:sz w:val="32"/>
          <w:szCs w:val="72"/>
        </w:rPr>
        <w:t>）</w:t>
      </w:r>
      <w:r w:rsidRPr="0087491C">
        <w:rPr>
          <w:rFonts w:ascii="仿宋" w:eastAsia="仿宋" w:hAnsi="仿宋" w:cstheme="minorHAnsi" w:hint="eastAsia"/>
          <w:kern w:val="0"/>
          <w:sz w:val="32"/>
          <w:szCs w:val="72"/>
        </w:rPr>
        <w:t>在建设控制地带内，新建建（构）筑物体量、外形应与太古仓仓库旧址建筑及周边历史环境相协调，新建建（构）筑物外观色彩应使用与太古仓旧址内文物建筑外立面色彩（红色、灰色）相协调的色调。</w:t>
      </w:r>
      <w:bookmarkStart w:id="0" w:name="_GoBack"/>
      <w:bookmarkEnd w:id="0"/>
    </w:p>
    <w:p w:rsidR="000454DF" w:rsidRDefault="001D2461" w:rsidP="000454DF">
      <w:pPr>
        <w:rPr>
          <w:noProof/>
        </w:rPr>
      </w:pPr>
      <w:r>
        <w:rPr>
          <w:noProof/>
        </w:rPr>
        <w:lastRenderedPageBreak/>
        <w:drawing>
          <wp:anchor distT="0" distB="0" distL="114300" distR="114300" simplePos="0" relativeHeight="251664384" behindDoc="0" locked="0" layoutInCell="1" allowOverlap="1" wp14:anchorId="73D5F0CD" wp14:editId="7183F0D7">
            <wp:simplePos x="0" y="0"/>
            <wp:positionH relativeFrom="column">
              <wp:posOffset>4679026</wp:posOffset>
            </wp:positionH>
            <wp:positionV relativeFrom="paragraph">
              <wp:posOffset>52070</wp:posOffset>
            </wp:positionV>
            <wp:extent cx="722861" cy="787941"/>
            <wp:effectExtent l="0" t="0" r="127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2861" cy="787941"/>
                    </a:xfrm>
                    <a:prstGeom prst="rect">
                      <a:avLst/>
                    </a:prstGeom>
                  </pic:spPr>
                </pic:pic>
              </a:graphicData>
            </a:graphic>
            <wp14:sizeRelH relativeFrom="margin">
              <wp14:pctWidth>0</wp14:pctWidth>
            </wp14:sizeRelH>
            <wp14:sizeRelV relativeFrom="margin">
              <wp14:pctHeight>0</wp14:pctHeight>
            </wp14:sizeRelV>
          </wp:anchor>
        </w:drawing>
      </w:r>
      <w:r w:rsidR="00237BD0">
        <w:rPr>
          <w:noProof/>
        </w:rPr>
        <w:drawing>
          <wp:anchor distT="0" distB="0" distL="114300" distR="114300" simplePos="0" relativeHeight="251658240" behindDoc="0" locked="0" layoutInCell="1" allowOverlap="1">
            <wp:simplePos x="0" y="0"/>
            <wp:positionH relativeFrom="column">
              <wp:posOffset>4359910</wp:posOffset>
            </wp:positionH>
            <wp:positionV relativeFrom="paragraph">
              <wp:posOffset>3549073</wp:posOffset>
            </wp:positionV>
            <wp:extent cx="1100686" cy="1100686"/>
            <wp:effectExtent l="0" t="0" r="4445" b="44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00686" cy="1100686"/>
                    </a:xfrm>
                    <a:prstGeom prst="rect">
                      <a:avLst/>
                    </a:prstGeom>
                  </pic:spPr>
                </pic:pic>
              </a:graphicData>
            </a:graphic>
            <wp14:sizeRelH relativeFrom="margin">
              <wp14:pctWidth>0</wp14:pctWidth>
            </wp14:sizeRelH>
            <wp14:sizeRelV relativeFrom="margin">
              <wp14:pctHeight>0</wp14:pctHeight>
            </wp14:sizeRelV>
          </wp:anchor>
        </w:drawing>
      </w:r>
      <w:r w:rsidR="000454DF">
        <w:rPr>
          <w:noProof/>
        </w:rPr>
        <w:drawing>
          <wp:inline distT="0" distB="0" distL="0" distR="0" wp14:anchorId="177DE350" wp14:editId="35B31F16">
            <wp:extent cx="5453149" cy="4646929"/>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1226" cy="4653812"/>
                    </a:xfrm>
                    <a:prstGeom prst="rect">
                      <a:avLst/>
                    </a:prstGeom>
                  </pic:spPr>
                </pic:pic>
              </a:graphicData>
            </a:graphic>
          </wp:inline>
        </w:drawing>
      </w:r>
      <w:r w:rsidR="00237BD0" w:rsidRPr="00237BD0">
        <w:rPr>
          <w:noProof/>
        </w:rPr>
        <w:t xml:space="preserve"> </w:t>
      </w:r>
    </w:p>
    <w:p w:rsidR="00237BD0" w:rsidRPr="00237BD0" w:rsidRDefault="00237BD0" w:rsidP="00237BD0">
      <w:pPr>
        <w:jc w:val="center"/>
        <w:rPr>
          <w:rFonts w:ascii="仿宋" w:eastAsia="仿宋" w:hAnsi="仿宋" w:hint="eastAsia"/>
          <w:sz w:val="22"/>
        </w:rPr>
      </w:pPr>
      <w:r>
        <w:rPr>
          <w:rFonts w:ascii="仿宋" w:eastAsia="仿宋" w:hAnsi="仿宋"/>
          <w:sz w:val="22"/>
        </w:rPr>
        <w:t>保护区划图</w:t>
      </w:r>
    </w:p>
    <w:p w:rsidR="000454DF" w:rsidRDefault="000454DF" w:rsidP="000454DF"/>
    <w:p w:rsidR="000454DF" w:rsidRDefault="001D2461" w:rsidP="000454DF">
      <w:pPr>
        <w:rPr>
          <w:rFonts w:hint="eastAsia"/>
        </w:rPr>
      </w:pPr>
      <w:r>
        <w:rPr>
          <w:noProof/>
        </w:rPr>
        <w:lastRenderedPageBreak/>
        <w:drawing>
          <wp:anchor distT="0" distB="0" distL="114300" distR="114300" simplePos="0" relativeHeight="251662336" behindDoc="0" locked="0" layoutInCell="1" allowOverlap="1">
            <wp:simplePos x="0" y="0"/>
            <wp:positionH relativeFrom="column">
              <wp:posOffset>4941570</wp:posOffset>
            </wp:positionH>
            <wp:positionV relativeFrom="paragraph">
              <wp:posOffset>199390</wp:posOffset>
            </wp:positionV>
            <wp:extent cx="722861" cy="787941"/>
            <wp:effectExtent l="0" t="0" r="127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2861" cy="787941"/>
                    </a:xfrm>
                    <a:prstGeom prst="rect">
                      <a:avLst/>
                    </a:prstGeom>
                  </pic:spPr>
                </pic:pic>
              </a:graphicData>
            </a:graphic>
            <wp14:sizeRelH relativeFrom="margin">
              <wp14:pctWidth>0</wp14:pctWidth>
            </wp14:sizeRelH>
            <wp14:sizeRelV relativeFrom="margin">
              <wp14:pctHeight>0</wp14:pctHeight>
            </wp14:sizeRelV>
          </wp:anchor>
        </w:drawing>
      </w:r>
      <w:r w:rsidR="00237BD0">
        <w:rPr>
          <w:noProof/>
        </w:rPr>
        <w:drawing>
          <wp:anchor distT="0" distB="0" distL="114300" distR="114300" simplePos="0" relativeHeight="251659264" behindDoc="0" locked="0" layoutInCell="1" allowOverlap="1">
            <wp:simplePos x="0" y="0"/>
            <wp:positionH relativeFrom="column">
              <wp:posOffset>4498145</wp:posOffset>
            </wp:positionH>
            <wp:positionV relativeFrom="paragraph">
              <wp:posOffset>2898486</wp:posOffset>
            </wp:positionV>
            <wp:extent cx="1168776" cy="1794652"/>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7771" cy="1808464"/>
                    </a:xfrm>
                    <a:prstGeom prst="rect">
                      <a:avLst/>
                    </a:prstGeom>
                  </pic:spPr>
                </pic:pic>
              </a:graphicData>
            </a:graphic>
            <wp14:sizeRelH relativeFrom="margin">
              <wp14:pctWidth>0</wp14:pctWidth>
            </wp14:sizeRelH>
            <wp14:sizeRelV relativeFrom="margin">
              <wp14:pctHeight>0</wp14:pctHeight>
            </wp14:sizeRelV>
          </wp:anchor>
        </w:drawing>
      </w:r>
      <w:r w:rsidR="00237BD0">
        <w:rPr>
          <w:noProof/>
        </w:rPr>
        <w:drawing>
          <wp:inline distT="0" distB="0" distL="0" distR="0" wp14:anchorId="63442B13" wp14:editId="0BEF4938">
            <wp:extent cx="5662246" cy="47494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4097" cy="4759383"/>
                    </a:xfrm>
                    <a:prstGeom prst="rect">
                      <a:avLst/>
                    </a:prstGeom>
                  </pic:spPr>
                </pic:pic>
              </a:graphicData>
            </a:graphic>
          </wp:inline>
        </w:drawing>
      </w:r>
    </w:p>
    <w:p w:rsidR="00237BD0" w:rsidRPr="00237BD0" w:rsidRDefault="00237BD0" w:rsidP="00237BD0">
      <w:pPr>
        <w:jc w:val="center"/>
        <w:rPr>
          <w:rFonts w:ascii="仿宋" w:eastAsia="仿宋" w:hAnsi="仿宋" w:hint="eastAsia"/>
          <w:sz w:val="22"/>
        </w:rPr>
      </w:pPr>
      <w:r w:rsidRPr="00237BD0">
        <w:rPr>
          <w:rFonts w:ascii="仿宋" w:eastAsia="仿宋" w:hAnsi="仿宋"/>
          <w:sz w:val="22"/>
        </w:rPr>
        <w:t>利用规划图</w:t>
      </w:r>
    </w:p>
    <w:p w:rsidR="001238EA" w:rsidRDefault="001238EA" w:rsidP="001238EA">
      <w:pPr>
        <w:rPr>
          <w:rFonts w:ascii="微软雅黑" w:eastAsia="微软雅黑" w:hAnsi="微软雅黑"/>
          <w:sz w:val="11"/>
        </w:rPr>
      </w:pPr>
    </w:p>
    <w:p w:rsidR="00237BD0" w:rsidRDefault="001D2461" w:rsidP="001238EA">
      <w:pPr>
        <w:rPr>
          <w:noProof/>
        </w:rPr>
      </w:pPr>
      <w:r>
        <w:rPr>
          <w:noProof/>
        </w:rPr>
        <w:lastRenderedPageBreak/>
        <w:drawing>
          <wp:anchor distT="0" distB="0" distL="114300" distR="114300" simplePos="0" relativeHeight="251666432" behindDoc="0" locked="0" layoutInCell="1" allowOverlap="1" wp14:anchorId="7E97260B" wp14:editId="079B6930">
            <wp:simplePos x="0" y="0"/>
            <wp:positionH relativeFrom="column">
              <wp:posOffset>4637463</wp:posOffset>
            </wp:positionH>
            <wp:positionV relativeFrom="paragraph">
              <wp:posOffset>57785</wp:posOffset>
            </wp:positionV>
            <wp:extent cx="722861" cy="787941"/>
            <wp:effectExtent l="0" t="0" r="127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2861" cy="7879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4392930</wp:posOffset>
            </wp:positionH>
            <wp:positionV relativeFrom="paragraph">
              <wp:posOffset>3535324</wp:posOffset>
            </wp:positionV>
            <wp:extent cx="689957" cy="21082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957" cy="210820"/>
                    </a:xfrm>
                    <a:prstGeom prst="rect">
                      <a:avLst/>
                    </a:prstGeom>
                  </pic:spPr>
                </pic:pic>
              </a:graphicData>
            </a:graphic>
            <wp14:sizeRelH relativeFrom="margin">
              <wp14:pctWidth>0</wp14:pctWidth>
            </wp14:sizeRelH>
            <wp14:sizeRelV relativeFrom="margin">
              <wp14:pctHeight>0</wp14:pctHeight>
            </wp14:sizeRelV>
          </wp:anchor>
        </w:drawing>
      </w:r>
      <w:r w:rsidR="00237BD0">
        <w:rPr>
          <w:noProof/>
        </w:rPr>
        <w:drawing>
          <wp:anchor distT="0" distB="0" distL="114300" distR="114300" simplePos="0" relativeHeight="251660288" behindDoc="0" locked="0" layoutInCell="1" allowOverlap="1">
            <wp:simplePos x="0" y="0"/>
            <wp:positionH relativeFrom="column">
              <wp:posOffset>4074860</wp:posOffset>
            </wp:positionH>
            <wp:positionV relativeFrom="paragraph">
              <wp:posOffset>3745807</wp:posOffset>
            </wp:positionV>
            <wp:extent cx="1306992" cy="1542048"/>
            <wp:effectExtent l="0" t="0" r="762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6992" cy="1542048"/>
                    </a:xfrm>
                    <a:prstGeom prst="rect">
                      <a:avLst/>
                    </a:prstGeom>
                  </pic:spPr>
                </pic:pic>
              </a:graphicData>
            </a:graphic>
            <wp14:sizeRelH relativeFrom="margin">
              <wp14:pctWidth>0</wp14:pctWidth>
            </wp14:sizeRelH>
            <wp14:sizeRelV relativeFrom="margin">
              <wp14:pctHeight>0</wp14:pctHeight>
            </wp14:sizeRelV>
          </wp:anchor>
        </w:drawing>
      </w:r>
      <w:r w:rsidR="00237BD0">
        <w:rPr>
          <w:noProof/>
        </w:rPr>
        <w:drawing>
          <wp:inline distT="0" distB="0" distL="0" distR="0" wp14:anchorId="0D854D70" wp14:editId="7EF73C5E">
            <wp:extent cx="5378335" cy="5230052"/>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1549" cy="5233178"/>
                    </a:xfrm>
                    <a:prstGeom prst="rect">
                      <a:avLst/>
                    </a:prstGeom>
                  </pic:spPr>
                </pic:pic>
              </a:graphicData>
            </a:graphic>
          </wp:inline>
        </w:drawing>
      </w:r>
      <w:r w:rsidR="00237BD0" w:rsidRPr="00237BD0">
        <w:rPr>
          <w:noProof/>
        </w:rPr>
        <w:t xml:space="preserve"> </w:t>
      </w:r>
    </w:p>
    <w:p w:rsidR="001D2461" w:rsidRDefault="001D2461" w:rsidP="001D2461">
      <w:pPr>
        <w:jc w:val="center"/>
        <w:rPr>
          <w:rFonts w:hint="eastAsia"/>
          <w:noProof/>
        </w:rPr>
      </w:pPr>
      <w:r>
        <w:rPr>
          <w:noProof/>
        </w:rPr>
        <w:t>临建利用规划图</w:t>
      </w:r>
    </w:p>
    <w:p w:rsidR="001D2461" w:rsidRPr="001238EA" w:rsidRDefault="001D2461" w:rsidP="001238EA">
      <w:pPr>
        <w:rPr>
          <w:rFonts w:ascii="微软雅黑" w:eastAsia="微软雅黑" w:hAnsi="微软雅黑" w:hint="eastAsia"/>
          <w:sz w:val="11"/>
        </w:rPr>
      </w:pPr>
    </w:p>
    <w:sectPr w:rsidR="001D2461" w:rsidRPr="001238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Arial Unicode MS"/>
    <w:panose1 w:val="02010600030101010101"/>
    <w:charset w:val="86"/>
    <w:family w:val="auto"/>
    <w:notTrueType/>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KaiTi">
    <w:altName w:val="等线"/>
    <w:panose1 w:val="00000000000000000000"/>
    <w:charset w:val="86"/>
    <w:family w:val="auto"/>
    <w:notTrueType/>
    <w:pitch w:val="default"/>
    <w:sig w:usb0="00000001" w:usb1="080E0000" w:usb2="00000010" w:usb3="00000000" w:csb0="00040000" w:csb1="00000000"/>
  </w:font>
  <w:font w:name="TimesNewRomanPS-BoldMT">
    <w:altName w:val="等线"/>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24763"/>
    <w:multiLevelType w:val="hybridMultilevel"/>
    <w:tmpl w:val="D974F26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 w15:restartNumberingAfterBreak="0">
    <w:nsid w:val="6F572E5D"/>
    <w:multiLevelType w:val="hybridMultilevel"/>
    <w:tmpl w:val="D15C39B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 w15:restartNumberingAfterBreak="0">
    <w:nsid w:val="79BA2DC4"/>
    <w:multiLevelType w:val="hybridMultilevel"/>
    <w:tmpl w:val="0310F99A"/>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EA"/>
    <w:rsid w:val="000454DF"/>
    <w:rsid w:val="001238EA"/>
    <w:rsid w:val="001D2461"/>
    <w:rsid w:val="00237BD0"/>
    <w:rsid w:val="00636856"/>
    <w:rsid w:val="0087491C"/>
    <w:rsid w:val="009863AC"/>
    <w:rsid w:val="00C92AF8"/>
    <w:rsid w:val="00CC6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959425-537F-4A98-A854-96EC628DA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238E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238EA"/>
    <w:rPr>
      <w:b/>
      <w:bCs/>
      <w:kern w:val="44"/>
      <w:sz w:val="44"/>
      <w:szCs w:val="44"/>
    </w:rPr>
  </w:style>
  <w:style w:type="paragraph" w:styleId="a3">
    <w:name w:val="List Paragraph"/>
    <w:basedOn w:val="a"/>
    <w:uiPriority w:val="34"/>
    <w:qFormat/>
    <w:rsid w:val="0087491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AD5D9-3F3F-4B4C-9FF9-693CE5BEC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224</Words>
  <Characters>1281</Characters>
  <Application>Microsoft Office Word</Application>
  <DocSecurity>0</DocSecurity>
  <Lines>10</Lines>
  <Paragraphs>3</Paragraphs>
  <ScaleCrop>false</ScaleCrop>
  <Company/>
  <LinksUpToDate>false</LinksUpToDate>
  <CharactersWithSpaces>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xxz522411541@outlook.com</dc:creator>
  <cp:keywords/>
  <dc:description/>
  <cp:lastModifiedBy>xxz522411541@outlook.com</cp:lastModifiedBy>
  <cp:revision>4</cp:revision>
  <dcterms:created xsi:type="dcterms:W3CDTF">2023-10-17T05:39:00Z</dcterms:created>
  <dcterms:modified xsi:type="dcterms:W3CDTF">2023-10-17T06:20:00Z</dcterms:modified>
</cp:coreProperties>
</file>