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right="202" w:rightChars="96"/>
        <w:jc w:val="right"/>
        <w:outlineLvl w:val="9"/>
        <w:rPr>
          <w:rFonts w:ascii="楷体_GB2312" w:hAnsi="宋体" w:eastAsia="楷体_GB2312"/>
          <w:b/>
          <w:color w:val="auto"/>
          <w:sz w:val="28"/>
          <w:szCs w:val="28"/>
        </w:rPr>
      </w:pPr>
      <w:bookmarkStart w:id="0" w:name="_Toc14205"/>
      <w:bookmarkStart w:id="1" w:name="_Toc8046"/>
      <w:bookmarkStart w:id="2" w:name="_Toc20572"/>
      <w:bookmarkStart w:id="3" w:name="_Toc6019"/>
      <w:bookmarkStart w:id="4" w:name="_Toc29323"/>
      <w:bookmarkStart w:id="5" w:name="_Toc9789"/>
      <w:bookmarkStart w:id="6" w:name="_Toc13007"/>
      <w:bookmarkStart w:id="7" w:name="_Toc3490"/>
      <w:bookmarkStart w:id="8" w:name="_Toc5522"/>
      <w:bookmarkStart w:id="9" w:name="_Toc6628"/>
      <w:bookmarkStart w:id="10" w:name="_Toc25631"/>
      <w:bookmarkStart w:id="11" w:name="_Toc24093"/>
      <w:bookmarkStart w:id="12" w:name="_Toc43371450"/>
      <w:bookmarkStart w:id="13" w:name="_Toc21146"/>
      <w:bookmarkStart w:id="14" w:name="_Toc13130"/>
      <w:bookmarkStart w:id="15" w:name="_Toc31364"/>
      <w:bookmarkStart w:id="16" w:name="_Toc9572"/>
      <w:bookmarkStart w:id="17" w:name="_Toc25952"/>
      <w:r>
        <w:rPr>
          <w:rFonts w:hint="eastAsia" w:ascii="楷体_GB2312" w:hAnsi="Times New Roman" w:eastAsia="楷体_GB2312" w:cs="楷体_GB2312"/>
          <w:b/>
          <w:color w:val="auto"/>
          <w:sz w:val="28"/>
          <w:szCs w:val="20"/>
        </w:rPr>
        <w:t>田野</w:t>
      </w:r>
      <w:r>
        <w:rPr>
          <w:rFonts w:hint="eastAsia" w:ascii="楷体_GB2312" w:hAnsi="宋体" w:eastAsia="楷体_GB2312"/>
          <w:b/>
          <w:color w:val="auto"/>
          <w:sz w:val="28"/>
          <w:szCs w:val="28"/>
        </w:rPr>
        <w:t>档案编号：GZKG-202</w:t>
      </w:r>
      <w:r>
        <w:rPr>
          <w:rFonts w:hint="eastAsia" w:ascii="楷体_GB2312" w:hAnsi="宋体" w:eastAsia="楷体_GB2312"/>
          <w:b/>
          <w:color w:val="auto"/>
          <w:sz w:val="28"/>
          <w:szCs w:val="28"/>
          <w:lang w:val="en-US" w:eastAsia="zh-CN"/>
        </w:rPr>
        <w:t>3</w:t>
      </w:r>
      <w:r>
        <w:rPr>
          <w:rFonts w:hint="eastAsia" w:ascii="楷体_GB2312" w:hAnsi="宋体" w:eastAsia="楷体_GB2312"/>
          <w:b/>
          <w:color w:val="auto"/>
          <w:sz w:val="28"/>
          <w:szCs w:val="28"/>
        </w:rPr>
        <w:t>-</w:t>
      </w:r>
      <w:r>
        <w:rPr>
          <w:rFonts w:hint="eastAsia" w:ascii="楷体_GB2312" w:hAnsi="宋体" w:eastAsia="楷体_GB2312"/>
          <w:b/>
          <w:color w:val="auto"/>
          <w:sz w:val="28"/>
          <w:szCs w:val="28"/>
          <w:lang w:val="en-US" w:eastAsia="zh-CN"/>
        </w:rPr>
        <w:t>085</w:t>
      </w:r>
      <w:r>
        <w:rPr>
          <w:rFonts w:hint="eastAsia" w:ascii="楷体_GB2312" w:hAnsi="宋体" w:eastAsia="楷体_GB2312"/>
          <w:b/>
          <w:color w:val="auto"/>
          <w:sz w:val="28"/>
          <w:szCs w:val="28"/>
        </w:rPr>
        <w:t>(DC)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spacing w:line="480" w:lineRule="auto"/>
        <w:rPr>
          <w:rFonts w:ascii="黑体" w:hAnsi="宋体" w:eastAsia="黑体"/>
          <w:b/>
          <w:sz w:val="72"/>
          <w:szCs w:val="72"/>
          <w:u w:val="single"/>
        </w:rPr>
      </w:pPr>
    </w:p>
    <w:p>
      <w:pPr>
        <w:spacing w:line="480" w:lineRule="auto"/>
        <w:rPr>
          <w:rFonts w:ascii="黑体" w:hAnsi="宋体" w:eastAsia="黑体"/>
          <w:b/>
          <w:sz w:val="72"/>
          <w:szCs w:val="72"/>
          <w:u w:val="single"/>
        </w:rPr>
      </w:pPr>
    </w:p>
    <w:p>
      <w:pPr>
        <w:rPr>
          <w:rFonts w:ascii="楷体" w:hAnsi="楷体" w:eastAsia="楷体"/>
          <w:b/>
          <w:sz w:val="72"/>
          <w:szCs w:val="72"/>
        </w:rPr>
      </w:pPr>
    </w:p>
    <w:p>
      <w:pPr>
        <w:jc w:val="center"/>
        <w:rPr>
          <w:rFonts w:hint="eastAsia" w:ascii="楷体" w:eastAsia="楷体"/>
          <w:b/>
          <w:spacing w:val="-20"/>
          <w:w w:val="90"/>
          <w:sz w:val="72"/>
          <w:szCs w:val="72"/>
          <w:lang w:val="en-US" w:eastAsia="zh-CN"/>
        </w:rPr>
      </w:pPr>
      <w:r>
        <w:rPr>
          <w:rFonts w:hint="eastAsia" w:ascii="楷体" w:eastAsia="楷体"/>
          <w:b/>
          <w:spacing w:val="-20"/>
          <w:w w:val="90"/>
          <w:sz w:val="72"/>
          <w:szCs w:val="72"/>
          <w:lang w:val="en-US" w:eastAsia="zh-CN"/>
        </w:rPr>
        <w:t>增城区中新镇广汕公路北侧66.186亩地块</w:t>
      </w:r>
    </w:p>
    <w:p>
      <w:pPr>
        <w:jc w:val="center"/>
        <w:rPr>
          <w:rFonts w:ascii="黑体" w:hAnsi="黑体" w:eastAsia="黑体"/>
          <w:b/>
          <w:spacing w:val="-20"/>
          <w:sz w:val="84"/>
          <w:szCs w:val="84"/>
        </w:rPr>
      </w:pPr>
      <w:r>
        <w:rPr>
          <w:rFonts w:hint="eastAsia" w:ascii="黑体" w:hAnsi="黑体" w:eastAsia="黑体"/>
          <w:b/>
          <w:spacing w:val="-20"/>
          <w:sz w:val="84"/>
          <w:szCs w:val="84"/>
        </w:rPr>
        <w:t>考古调查工作报告</w:t>
      </w:r>
    </w:p>
    <w:p>
      <w:pPr>
        <w:jc w:val="center"/>
        <w:rPr>
          <w:rFonts w:ascii="黑体" w:hAnsi="黑体" w:eastAsia="黑体"/>
          <w:b/>
          <w:spacing w:val="-20"/>
          <w:sz w:val="72"/>
          <w:szCs w:val="72"/>
        </w:rPr>
      </w:pPr>
    </w:p>
    <w:p>
      <w:pPr>
        <w:rPr>
          <w:rFonts w:ascii="楷体" w:hAnsi="楷体" w:eastAsia="楷体"/>
          <w:b/>
          <w:sz w:val="72"/>
          <w:szCs w:val="72"/>
        </w:rPr>
      </w:pPr>
    </w:p>
    <w:p>
      <w:pPr>
        <w:jc w:val="left"/>
        <w:rPr>
          <w:rFonts w:ascii="宋体" w:hAnsi="宋体"/>
          <w:b/>
          <w:sz w:val="32"/>
          <w:szCs w:val="32"/>
        </w:rPr>
      </w:pPr>
    </w:p>
    <w:p>
      <w:pPr>
        <w:jc w:val="left"/>
        <w:rPr>
          <w:rFonts w:ascii="宋体" w:hAnsi="宋体"/>
          <w:b/>
          <w:sz w:val="32"/>
          <w:szCs w:val="32"/>
        </w:rPr>
      </w:pPr>
    </w:p>
    <w:p>
      <w:pPr>
        <w:pStyle w:val="2"/>
        <w:rPr>
          <w:rFonts w:ascii="宋体" w:hAnsi="宋体"/>
          <w:b/>
          <w:sz w:val="32"/>
          <w:szCs w:val="32"/>
        </w:rPr>
      </w:pPr>
    </w:p>
    <w:p>
      <w:pPr>
        <w:pStyle w:val="4"/>
      </w:pPr>
    </w:p>
    <w:p>
      <w:pPr>
        <w:jc w:val="left"/>
        <w:rPr>
          <w:rFonts w:ascii="宋体" w:hAnsi="宋体"/>
          <w:b/>
          <w:sz w:val="32"/>
          <w:szCs w:val="32"/>
        </w:rPr>
      </w:pPr>
    </w:p>
    <w:p>
      <w:pPr>
        <w:jc w:val="left"/>
        <w:rPr>
          <w:rFonts w:ascii="宋体" w:hAnsi="宋体"/>
          <w:b/>
          <w:sz w:val="32"/>
          <w:szCs w:val="32"/>
        </w:rPr>
      </w:pPr>
    </w:p>
    <w:p>
      <w:pPr>
        <w:spacing w:before="240" w:line="480" w:lineRule="exact"/>
        <w:ind w:left="2185" w:hanging="2185" w:hangingChars="496"/>
        <w:jc w:val="center"/>
        <w:rPr>
          <w:rFonts w:ascii="华文隶书" w:hAnsi="宋体" w:eastAsia="华文隶书"/>
          <w:b/>
          <w:bCs/>
          <w:sz w:val="44"/>
          <w:szCs w:val="44"/>
        </w:rPr>
      </w:pPr>
      <w:r>
        <w:rPr>
          <w:rFonts w:hint="eastAsia" w:ascii="华文隶书" w:hAnsi="宋体" w:eastAsia="华文隶书"/>
          <w:b/>
          <w:bCs/>
          <w:sz w:val="44"/>
          <w:szCs w:val="44"/>
        </w:rPr>
        <w:t>广州市文物考古研究院</w:t>
      </w:r>
    </w:p>
    <w:p>
      <w:pPr>
        <w:widowControl/>
        <w:spacing w:line="500" w:lineRule="exact"/>
        <w:jc w:val="center"/>
        <w:rPr>
          <w:rFonts w:ascii="华文隶书" w:hAnsi="宋体" w:eastAsia="华文隶书"/>
          <w:bCs/>
          <w:sz w:val="32"/>
          <w:szCs w:val="32"/>
        </w:rPr>
      </w:pPr>
      <w:r>
        <w:rPr>
          <w:rFonts w:hint="eastAsia" w:ascii="华文隶书" w:hAnsi="宋体" w:eastAsia="华文隶书"/>
          <w:bCs/>
          <w:sz w:val="32"/>
          <w:szCs w:val="32"/>
        </w:rPr>
        <w:t>二</w:t>
      </w:r>
      <w:r>
        <w:rPr>
          <w:rFonts w:hint="eastAsia" w:ascii="华文隶书" w:hAnsi="宋体"/>
          <w:bCs/>
          <w:sz w:val="32"/>
          <w:szCs w:val="32"/>
        </w:rPr>
        <w:t>〇</w:t>
      </w:r>
      <w:r>
        <w:rPr>
          <w:rFonts w:hint="eastAsia" w:ascii="华文隶书" w:hAnsi="宋体" w:eastAsia="华文隶书"/>
          <w:bCs/>
          <w:sz w:val="32"/>
          <w:szCs w:val="32"/>
        </w:rPr>
        <w:t>二</w:t>
      </w:r>
      <w:r>
        <w:rPr>
          <w:rFonts w:hint="eastAsia" w:ascii="华文隶书" w:hAnsi="宋体" w:eastAsia="华文隶书"/>
          <w:bCs/>
          <w:sz w:val="32"/>
          <w:szCs w:val="32"/>
          <w:lang w:val="en-US" w:eastAsia="zh-CN"/>
        </w:rPr>
        <w:t>三</w:t>
      </w:r>
      <w:r>
        <w:rPr>
          <w:rFonts w:hint="eastAsia" w:ascii="华文隶书" w:hAnsi="宋体" w:eastAsia="华文隶书"/>
          <w:bCs/>
          <w:sz w:val="32"/>
          <w:szCs w:val="32"/>
        </w:rPr>
        <w:t>年</w:t>
      </w:r>
      <w:r>
        <w:rPr>
          <w:rFonts w:hint="eastAsia" w:ascii="华文隶书" w:hAnsi="宋体" w:eastAsia="华文隶书"/>
          <w:bCs/>
          <w:sz w:val="32"/>
          <w:szCs w:val="32"/>
          <w:lang w:val="en-US" w:eastAsia="zh-CN"/>
        </w:rPr>
        <w:t>五</w:t>
      </w:r>
      <w:r>
        <w:rPr>
          <w:rFonts w:hint="eastAsia" w:ascii="华文隶书" w:hAnsi="宋体" w:eastAsia="华文隶书"/>
          <w:bCs/>
          <w:sz w:val="32"/>
          <w:szCs w:val="32"/>
        </w:rPr>
        <w:t>月</w:t>
      </w:r>
    </w:p>
    <w:p>
      <w:pPr>
        <w:widowControl/>
        <w:spacing w:line="500" w:lineRule="exact"/>
        <w:jc w:val="center"/>
        <w:rPr>
          <w:rFonts w:ascii="华文隶书" w:hAnsi="宋体" w:eastAsia="华文隶书"/>
          <w:bCs/>
          <w:sz w:val="32"/>
          <w:szCs w:val="32"/>
        </w:rPr>
      </w:pPr>
    </w:p>
    <w:p>
      <w:pPr>
        <w:rPr>
          <w:rFonts w:ascii="仿宋" w:hAnsi="仿宋" w:eastAsia="仿宋" w:cs="仿宋"/>
          <w:b/>
          <w:bCs/>
          <w:sz w:val="30"/>
          <w:szCs w:val="30"/>
        </w:rPr>
      </w:pPr>
      <w:r>
        <w:rPr>
          <w:rFonts w:hint="eastAsia" w:ascii="仿宋" w:hAnsi="仿宋" w:eastAsia="仿宋" w:cs="仿宋"/>
          <w:b/>
          <w:bCs/>
          <w:sz w:val="30"/>
          <w:szCs w:val="30"/>
        </w:rPr>
        <w:br w:type="page"/>
      </w:r>
    </w:p>
    <w:p>
      <w:pPr>
        <w:keepNext w:val="0"/>
        <w:keepLines w:val="0"/>
        <w:pageBreakBefore w:val="0"/>
        <w:kinsoku/>
        <w:wordWrap/>
        <w:overflowPunct/>
        <w:topLinePunct w:val="0"/>
        <w:autoSpaceDE/>
        <w:autoSpaceDN/>
        <w:bidi w:val="0"/>
        <w:adjustRightInd/>
        <w:spacing w:line="420" w:lineRule="exact"/>
        <w:jc w:val="both"/>
        <w:textAlignment w:val="auto"/>
        <w:rPr>
          <w:rFonts w:hint="default" w:ascii="仿宋" w:hAnsi="仿宋" w:eastAsia="仿宋" w:cs="仿宋"/>
          <w:color w:val="auto"/>
          <w:spacing w:val="-23"/>
          <w:sz w:val="30"/>
          <w:szCs w:val="30"/>
          <w:lang w:val="en-US" w:eastAsia="zh-CN"/>
        </w:rPr>
      </w:pPr>
      <w:r>
        <w:rPr>
          <w:rFonts w:hint="eastAsia" w:ascii="仿宋" w:hAnsi="仿宋" w:eastAsia="仿宋" w:cs="仿宋"/>
          <w:b/>
          <w:bCs/>
          <w:color w:val="auto"/>
          <w:sz w:val="30"/>
          <w:szCs w:val="30"/>
        </w:rPr>
        <w:t>项目名称：</w:t>
      </w:r>
      <w:r>
        <w:rPr>
          <w:rFonts w:hint="eastAsia" w:ascii="仿宋" w:hAnsi="仿宋" w:eastAsia="仿宋" w:cs="仿宋"/>
          <w:color w:val="auto"/>
          <w:spacing w:val="0"/>
          <w:sz w:val="30"/>
          <w:szCs w:val="30"/>
          <w:lang w:val="en-US" w:eastAsia="zh-CN"/>
        </w:rPr>
        <w:t>增城区中新镇广汕公路北侧66.186亩地块</w:t>
      </w:r>
    </w:p>
    <w:p>
      <w:pPr>
        <w:keepNext w:val="0"/>
        <w:keepLines w:val="0"/>
        <w:pageBreakBefore w:val="0"/>
        <w:widowControl/>
        <w:kinsoku/>
        <w:wordWrap/>
        <w:overflowPunct/>
        <w:topLinePunct w:val="0"/>
        <w:autoSpaceDE/>
        <w:autoSpaceDN/>
        <w:bidi w:val="0"/>
        <w:adjustRightInd/>
        <w:snapToGrid/>
        <w:spacing w:line="420" w:lineRule="exact"/>
        <w:ind w:left="0" w:hanging="1506" w:hangingChars="500"/>
        <w:textAlignment w:val="auto"/>
        <w:rPr>
          <w:rFonts w:hint="default" w:ascii="仿宋" w:hAnsi="仿宋" w:eastAsia="仿宋" w:cs="仿宋"/>
          <w:color w:val="auto"/>
          <w:spacing w:val="-6"/>
          <w:sz w:val="30"/>
          <w:szCs w:val="30"/>
          <w:lang w:val="en-US" w:eastAsia="zh-CN"/>
        </w:rPr>
      </w:pPr>
      <w:r>
        <w:rPr>
          <w:rFonts w:hint="eastAsia" w:ascii="仿宋" w:hAnsi="仿宋" w:eastAsia="仿宋" w:cs="仿宋"/>
          <w:b/>
          <w:bCs/>
          <w:color w:val="auto"/>
          <w:sz w:val="30"/>
          <w:szCs w:val="30"/>
        </w:rPr>
        <w:t>项目地点：</w:t>
      </w:r>
      <w:r>
        <w:rPr>
          <w:rFonts w:hint="eastAsia" w:ascii="仿宋" w:hAnsi="仿宋" w:eastAsia="仿宋" w:cs="仿宋"/>
          <w:color w:val="auto"/>
          <w:spacing w:val="-6"/>
          <w:sz w:val="30"/>
          <w:szCs w:val="30"/>
          <w:lang w:val="en-US" w:eastAsia="zh-CN"/>
        </w:rPr>
        <w:t>广州市增城区中新镇乌石村</w:t>
      </w:r>
    </w:p>
    <w:p>
      <w:pPr>
        <w:keepNext w:val="0"/>
        <w:keepLines w:val="0"/>
        <w:pageBreakBefore w:val="0"/>
        <w:widowControl/>
        <w:kinsoku/>
        <w:wordWrap/>
        <w:overflowPunct/>
        <w:topLinePunct w:val="0"/>
        <w:autoSpaceDE/>
        <w:autoSpaceDN/>
        <w:bidi w:val="0"/>
        <w:adjustRightInd/>
        <w:snapToGrid/>
        <w:spacing w:line="420" w:lineRule="exact"/>
        <w:ind w:left="1506" w:hanging="1506" w:hangingChars="500"/>
        <w:textAlignment w:val="auto"/>
        <w:rPr>
          <w:rFonts w:hint="default" w:ascii="仿宋" w:hAnsi="仿宋" w:eastAsia="仿宋" w:cs="仿宋"/>
          <w:color w:val="auto"/>
          <w:spacing w:val="-6"/>
          <w:sz w:val="30"/>
          <w:szCs w:val="30"/>
          <w:lang w:val="en-US" w:eastAsia="zh-CN"/>
        </w:rPr>
      </w:pPr>
      <w:r>
        <w:rPr>
          <w:rFonts w:hint="eastAsia" w:ascii="仿宋" w:hAnsi="仿宋" w:eastAsia="仿宋" w:cs="仿宋"/>
          <w:b/>
          <w:bCs/>
          <w:color w:val="auto"/>
          <w:sz w:val="30"/>
          <w:szCs w:val="30"/>
          <w:lang w:val="en-US" w:eastAsia="zh-CN"/>
        </w:rPr>
        <w:t>收储</w:t>
      </w:r>
      <w:r>
        <w:rPr>
          <w:rFonts w:hint="eastAsia" w:ascii="仿宋" w:hAnsi="仿宋" w:eastAsia="仿宋" w:cs="仿宋"/>
          <w:b/>
          <w:bCs/>
          <w:color w:val="auto"/>
          <w:sz w:val="30"/>
          <w:szCs w:val="30"/>
        </w:rPr>
        <w:t>单位：</w:t>
      </w:r>
      <w:r>
        <w:rPr>
          <w:rFonts w:hint="eastAsia" w:ascii="仿宋" w:hAnsi="仿宋" w:eastAsia="仿宋" w:cs="仿宋"/>
          <w:color w:val="auto"/>
          <w:spacing w:val="-6"/>
          <w:kern w:val="2"/>
          <w:sz w:val="30"/>
          <w:szCs w:val="30"/>
          <w:lang w:val="en-US" w:eastAsia="zh-CN" w:bidi="ar-SA"/>
        </w:rPr>
        <w:t>广州市增城区土地开发储备中心</w:t>
      </w:r>
    </w:p>
    <w:p>
      <w:pPr>
        <w:keepNext w:val="0"/>
        <w:keepLines w:val="0"/>
        <w:pageBreakBefore w:val="0"/>
        <w:widowControl/>
        <w:kinsoku/>
        <w:wordWrap/>
        <w:overflowPunct/>
        <w:topLinePunct w:val="0"/>
        <w:autoSpaceDE/>
        <w:autoSpaceDN/>
        <w:bidi w:val="0"/>
        <w:adjustRightInd/>
        <w:snapToGrid/>
        <w:spacing w:line="420" w:lineRule="exact"/>
        <w:ind w:left="1506" w:hanging="1506" w:hangingChars="500"/>
        <w:textAlignment w:val="auto"/>
        <w:rPr>
          <w:rFonts w:hint="default" w:ascii="仿宋" w:hAnsi="仿宋" w:eastAsia="仿宋" w:cs="仿宋"/>
          <w:color w:val="auto"/>
          <w:spacing w:val="-6"/>
          <w:sz w:val="30"/>
          <w:szCs w:val="30"/>
          <w:lang w:val="en-US" w:eastAsia="zh-CN"/>
        </w:rPr>
      </w:pPr>
      <w:r>
        <w:rPr>
          <w:rFonts w:hint="eastAsia" w:ascii="仿宋" w:hAnsi="仿宋" w:eastAsia="仿宋" w:cs="仿宋"/>
          <w:b/>
          <w:bCs/>
          <w:color w:val="auto"/>
          <w:sz w:val="30"/>
          <w:szCs w:val="30"/>
        </w:rPr>
        <w:t>项目领队：</w:t>
      </w:r>
      <w:r>
        <w:rPr>
          <w:rFonts w:hint="eastAsia" w:ascii="仿宋" w:hAnsi="仿宋" w:eastAsia="仿宋" w:cs="仿宋"/>
          <w:color w:val="auto"/>
          <w:spacing w:val="-6"/>
          <w:sz w:val="30"/>
          <w:szCs w:val="30"/>
          <w:lang w:val="en-US" w:eastAsia="zh-CN"/>
        </w:rPr>
        <w:t>张百祥</w:t>
      </w:r>
    </w:p>
    <w:p>
      <w:pPr>
        <w:pStyle w:val="2"/>
        <w:keepNext w:val="0"/>
        <w:keepLines w:val="0"/>
        <w:pageBreakBefore w:val="0"/>
        <w:kinsoku/>
        <w:wordWrap/>
        <w:overflowPunct/>
        <w:topLinePunct w:val="0"/>
        <w:autoSpaceDE/>
        <w:autoSpaceDN/>
        <w:bidi w:val="0"/>
        <w:adjustRightInd/>
        <w:snapToGrid/>
        <w:spacing w:after="0" w:line="420" w:lineRule="exact"/>
        <w:ind w:left="1506" w:leftChars="0" w:hanging="1506" w:hangingChars="500"/>
        <w:textAlignment w:val="auto"/>
        <w:rPr>
          <w:rFonts w:hint="default" w:ascii="仿宋" w:hAnsi="仿宋" w:eastAsia="仿宋" w:cs="仿宋"/>
          <w:color w:val="auto"/>
          <w:sz w:val="30"/>
          <w:szCs w:val="30"/>
          <w:lang w:val="en-US"/>
        </w:rPr>
      </w:pPr>
      <w:r>
        <w:rPr>
          <w:rFonts w:hint="eastAsia" w:ascii="仿宋" w:hAnsi="仿宋" w:eastAsia="仿宋" w:cs="仿宋"/>
          <w:b/>
          <w:bCs/>
          <w:color w:val="auto"/>
          <w:sz w:val="30"/>
          <w:szCs w:val="30"/>
        </w:rPr>
        <w:t>工作人员：</w:t>
      </w:r>
      <w:r>
        <w:rPr>
          <w:rFonts w:hint="eastAsia" w:ascii="仿宋" w:hAnsi="仿宋" w:eastAsia="仿宋" w:cs="仿宋"/>
          <w:color w:val="auto"/>
          <w:spacing w:val="-23"/>
          <w:sz w:val="30"/>
          <w:szCs w:val="30"/>
          <w:lang w:val="en-US" w:eastAsia="zh-CN"/>
        </w:rPr>
        <w:t>王慧琴、李恒、朱霖、秦东辉、陈军、杜宏洲、王平均等</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default" w:ascii="仿宋" w:hAnsi="仿宋" w:eastAsia="仿宋" w:cs="仿宋"/>
          <w:color w:val="auto"/>
          <w:spacing w:val="-6"/>
          <w:kern w:val="2"/>
          <w:sz w:val="30"/>
          <w:szCs w:val="30"/>
          <w:lang w:val="en-US" w:eastAsia="zh-CN" w:bidi="ar-SA"/>
        </w:rPr>
      </w:pPr>
      <w:r>
        <w:rPr>
          <w:rFonts w:hint="eastAsia" w:ascii="仿宋" w:hAnsi="仿宋" w:eastAsia="仿宋" w:cs="仿宋"/>
          <w:b/>
          <w:bCs/>
          <w:color w:val="auto"/>
          <w:sz w:val="30"/>
          <w:szCs w:val="30"/>
        </w:rPr>
        <w:t>工作时间：</w:t>
      </w:r>
      <w:r>
        <w:rPr>
          <w:rFonts w:hint="eastAsia" w:ascii="仿宋" w:hAnsi="仿宋" w:eastAsia="仿宋" w:cs="仿宋"/>
          <w:color w:val="auto"/>
          <w:spacing w:val="-6"/>
          <w:kern w:val="2"/>
          <w:sz w:val="30"/>
          <w:szCs w:val="30"/>
          <w:lang w:val="en-US" w:eastAsia="zh-CN" w:bidi="ar-SA"/>
        </w:rPr>
        <w:t>2023年4月3日、5月17日</w:t>
      </w:r>
    </w:p>
    <w:p>
      <w:pPr>
        <w:keepNext w:val="0"/>
        <w:keepLines w:val="0"/>
        <w:pageBreakBefore w:val="0"/>
        <w:widowControl/>
        <w:kinsoku/>
        <w:wordWrap/>
        <w:overflowPunct/>
        <w:topLinePunct w:val="0"/>
        <w:autoSpaceDE/>
        <w:autoSpaceDN/>
        <w:bidi w:val="0"/>
        <w:adjustRightInd/>
        <w:snapToGrid w:val="0"/>
        <w:spacing w:line="420" w:lineRule="exact"/>
        <w:textAlignment w:val="auto"/>
        <w:rPr>
          <w:rFonts w:ascii="仿宋" w:hAnsi="仿宋" w:eastAsia="仿宋" w:cs="仿宋"/>
          <w:b/>
          <w:bCs/>
          <w:sz w:val="30"/>
          <w:szCs w:val="30"/>
        </w:rPr>
      </w:pPr>
      <w:r>
        <w:rPr>
          <w:rFonts w:hint="eastAsia" w:ascii="仿宋" w:hAnsi="仿宋" w:eastAsia="仿宋" w:cs="仿宋"/>
          <w:b/>
          <w:bCs/>
          <w:sz w:val="30"/>
          <w:szCs w:val="30"/>
        </w:rPr>
        <w:t>考古工作概况：</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根据《中华人民共和国文物保护法》《广州市文物保护规定》，按照《广州市文物局关于增城区2023年度第一批地块考古调查勘探工作的复函》（文物2023207号）指导意见，受广州市增城区土地开发储备中心委托，我院对增城区中新镇广汕公路北侧66.186亩地块总用地面积约44124平方米进行了考古调查。</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经调查，增城区中新镇广汕公路北侧66.186亩地块位于广州市增城区中新镇乌石村内，西部、南部临坑贝水，南至广汕公路，东至乌石南一路。地块整体地势较低，地形平坦，覆盖有较厚现代回填土，地表种植有红薯、玉米、青菜等农作物，局部分布有香蕉树、杂草等。考古试探表明，地块内地层堆积简单且一致：①层：垫土层，为灰褐色、红褐色黏土，土质疏松，包含植物根茎、风化石渣等</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探至4.0米处</w:t>
      </w:r>
      <w:r>
        <w:rPr>
          <w:rFonts w:hint="eastAsia" w:ascii="宋体" w:hAnsi="宋体" w:cs="宋体"/>
          <w:color w:val="auto"/>
          <w:sz w:val="24"/>
          <w:szCs w:val="24"/>
          <w:lang w:val="en-US" w:eastAsia="zh-CN"/>
        </w:rPr>
        <w:t>仍无变化，且出水严重土样无法带出。</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调查在地块范围内未发现古代文化遗存和不可移动文物。</w:t>
      </w:r>
    </w:p>
    <w:p>
      <w:pPr>
        <w:keepNext w:val="0"/>
        <w:keepLines w:val="0"/>
        <w:pageBreakBefore w:val="0"/>
        <w:widowControl/>
        <w:kinsoku/>
        <w:wordWrap/>
        <w:overflowPunct/>
        <w:topLinePunct w:val="0"/>
        <w:autoSpaceDE/>
        <w:autoSpaceDN/>
        <w:bidi w:val="0"/>
        <w:adjustRightInd/>
        <w:snapToGrid w:val="0"/>
        <w:spacing w:line="42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文物保护建议：</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sz w:val="24"/>
          <w:szCs w:val="24"/>
        </w:rPr>
      </w:pPr>
      <w:r>
        <w:rPr>
          <w:rFonts w:hint="eastAsia" w:ascii="宋体" w:hAnsi="宋体" w:cs="宋体"/>
          <w:color w:val="auto"/>
          <w:kern w:val="2"/>
          <w:sz w:val="24"/>
          <w:szCs w:val="24"/>
          <w:lang w:val="en-US" w:eastAsia="zh-CN" w:bidi="ar-SA"/>
        </w:rPr>
        <w:t>根据以上考古调查和试探结果</w:t>
      </w:r>
      <w:r>
        <w:rPr>
          <w:rFonts w:hint="eastAsia" w:ascii="宋体" w:hAnsi="宋体" w:cs="宋体"/>
          <w:sz w:val="24"/>
          <w:szCs w:val="24"/>
          <w:lang w:val="en-US" w:eastAsia="zh-CN"/>
        </w:rPr>
        <w:t xml:space="preserve">，在地块范围内未发现具有历史文化价值、需要进一步开展考古勘探的古代文化遗存。本次调查对于今后在这一区域的考古工作具有一定的借鉴意义。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rPr>
        <w:t>本次考古调查工作完成后，</w:t>
      </w:r>
      <w:r>
        <w:rPr>
          <w:rFonts w:hint="eastAsia" w:ascii="宋体" w:hAnsi="宋体" w:cs="宋体"/>
          <w:sz w:val="24"/>
          <w:szCs w:val="24"/>
          <w:lang w:val="en-US" w:eastAsia="zh-CN"/>
        </w:rPr>
        <w:t>收储</w:t>
      </w:r>
      <w:r>
        <w:rPr>
          <w:rFonts w:hint="eastAsia" w:ascii="宋体" w:hAnsi="宋体" w:cs="宋体"/>
          <w:sz w:val="24"/>
          <w:szCs w:val="24"/>
        </w:rPr>
        <w:t>单位可以</w:t>
      </w:r>
      <w:r>
        <w:rPr>
          <w:rFonts w:hint="eastAsia" w:ascii="宋体" w:hAnsi="宋体" w:cs="宋体"/>
          <w:sz w:val="24"/>
          <w:szCs w:val="24"/>
          <w:lang w:val="en-US" w:eastAsia="zh-CN"/>
        </w:rPr>
        <w:t>按规定继续完善土地出让的</w:t>
      </w:r>
      <w:r>
        <w:rPr>
          <w:rFonts w:hint="eastAsia" w:ascii="宋体" w:hAnsi="宋体" w:cs="宋体"/>
          <w:sz w:val="24"/>
          <w:szCs w:val="24"/>
        </w:rPr>
        <w:t>手续。</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宋体" w:hAnsi="宋体" w:cs="宋体"/>
          <w:sz w:val="24"/>
          <w:szCs w:val="24"/>
        </w:rPr>
      </w:pPr>
      <w:r>
        <w:rPr>
          <w:rFonts w:hint="eastAsia" w:ascii="宋体" w:hAnsi="宋体" w:cs="宋体"/>
          <w:sz w:val="24"/>
          <w:szCs w:val="24"/>
        </w:rPr>
        <w:t>由于地下堆积、文化遗存的形成</w:t>
      </w:r>
      <w:r>
        <w:rPr>
          <w:rFonts w:hint="eastAsia" w:ascii="宋体" w:hAnsi="宋体" w:cs="宋体"/>
          <w:sz w:val="24"/>
          <w:szCs w:val="24"/>
          <w:lang w:val="en-US" w:eastAsia="zh-CN"/>
        </w:rPr>
        <w:t>和</w:t>
      </w:r>
      <w:r>
        <w:rPr>
          <w:rFonts w:hint="eastAsia" w:ascii="宋体" w:hAnsi="宋体" w:cs="宋体"/>
          <w:sz w:val="24"/>
          <w:szCs w:val="24"/>
        </w:rPr>
        <w:t>分布存在一定的特殊性，将来在建设施工过程中如果发现文物，建设、施工单位应当立即停止施工，保护好现场，并及时报请文物部门处理。</w:t>
      </w:r>
    </w:p>
    <w:p>
      <w:pPr>
        <w:keepNext w:val="0"/>
        <w:keepLines w:val="0"/>
        <w:pageBreakBefore w:val="0"/>
        <w:widowControl w:val="0"/>
        <w:kinsoku/>
        <w:wordWrap/>
        <w:overflowPunct/>
        <w:topLinePunct w:val="0"/>
        <w:autoSpaceDE w:val="0"/>
        <w:autoSpaceDN w:val="0"/>
        <w:bidi w:val="0"/>
        <w:adjustRightInd w:val="0"/>
        <w:snapToGrid/>
        <w:spacing w:line="800" w:lineRule="exact"/>
        <w:textAlignment w:val="auto"/>
        <w:rPr>
          <w:rFonts w:hint="eastAsia" w:ascii="楷体" w:hAnsi="Times New Roman" w:eastAsia="宋体" w:cs="楷体"/>
          <w:b/>
          <w:sz w:val="30"/>
          <w:szCs w:val="30"/>
          <w:lang w:eastAsia="zh-CN"/>
        </w:rPr>
      </w:pPr>
      <w:r>
        <w:rPr>
          <w:rFonts w:hint="eastAsia" w:ascii="宋体" w:hAnsi="Times New Roman" w:cs="宋体"/>
          <w:b/>
          <w:sz w:val="28"/>
          <w:szCs w:val="28"/>
        </w:rPr>
        <w:t>报告编写：</w:t>
      </w:r>
    </w:p>
    <w:p>
      <w:pPr>
        <w:keepNext w:val="0"/>
        <w:keepLines w:val="0"/>
        <w:pageBreakBefore w:val="0"/>
        <w:widowControl w:val="0"/>
        <w:kinsoku/>
        <w:wordWrap/>
        <w:overflowPunct/>
        <w:topLinePunct w:val="0"/>
        <w:autoSpaceDE w:val="0"/>
        <w:autoSpaceDN w:val="0"/>
        <w:bidi w:val="0"/>
        <w:adjustRightInd w:val="0"/>
        <w:snapToGrid/>
        <w:spacing w:line="800" w:lineRule="exact"/>
        <w:ind w:firstLine="562" w:firstLineChars="200"/>
        <w:textAlignment w:val="auto"/>
        <w:rPr>
          <w:rFonts w:ascii="宋体" w:hAnsi="Times New Roman" w:cs="宋体"/>
          <w:b/>
          <w:sz w:val="28"/>
          <w:szCs w:val="28"/>
        </w:rPr>
      </w:pPr>
      <w:r>
        <w:rPr>
          <w:rFonts w:hint="eastAsia" w:ascii="宋体" w:hAnsi="Times New Roman" w:cs="宋体"/>
          <w:b/>
          <w:sz w:val="28"/>
          <w:szCs w:val="28"/>
        </w:rPr>
        <w:t>审核：</w:t>
      </w:r>
    </w:p>
    <w:p>
      <w:pPr>
        <w:keepNext w:val="0"/>
        <w:keepLines w:val="0"/>
        <w:pageBreakBefore w:val="0"/>
        <w:widowControl w:val="0"/>
        <w:kinsoku/>
        <w:wordWrap/>
        <w:overflowPunct/>
        <w:topLinePunct w:val="0"/>
        <w:autoSpaceDE w:val="0"/>
        <w:autoSpaceDN w:val="0"/>
        <w:bidi w:val="0"/>
        <w:adjustRightInd w:val="0"/>
        <w:snapToGrid/>
        <w:spacing w:line="800" w:lineRule="exact"/>
        <w:ind w:firstLine="551" w:firstLineChars="196"/>
        <w:textAlignment w:val="auto"/>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ascii="宋体" w:hAnsi="Times New Roman" w:cs="宋体"/>
          <w:b/>
          <w:sz w:val="28"/>
          <w:szCs w:val="28"/>
        </w:rPr>
        <w:t>日期</w:t>
      </w:r>
      <w:r>
        <w:rPr>
          <w:rFonts w:hint="eastAsia" w:ascii="宋体" w:hAnsi="Times New Roman" w:cs="宋体"/>
          <w:b/>
          <w:sz w:val="28"/>
          <w:szCs w:val="28"/>
          <w:lang w:eastAsia="zh-CN"/>
        </w:rPr>
        <w:t>：</w:t>
      </w:r>
    </w:p>
    <w:sdt>
      <w:sdtPr>
        <w:rPr>
          <w:rFonts w:ascii="宋体" w:hAnsi="宋体"/>
          <w:b/>
          <w:bCs/>
          <w:sz w:val="36"/>
          <w:szCs w:val="36"/>
        </w:rPr>
        <w:id w:val="147455951"/>
        <w15:color w:val="DBDBDB"/>
        <w:docPartObj>
          <w:docPartGallery w:val="Table of Contents"/>
          <w:docPartUnique/>
        </w:docPartObj>
      </w:sdtPr>
      <w:sdtEndPr>
        <w:rPr>
          <w:rFonts w:hint="eastAsia" w:ascii="宋体" w:hAnsi="宋体" w:cs="宋体"/>
          <w:b/>
          <w:bCs/>
          <w:sz w:val="28"/>
          <w:szCs w:val="28"/>
        </w:rPr>
      </w:sdtEndPr>
      <w:sdtContent>
        <w:p>
          <w:pPr>
            <w:jc w:val="center"/>
            <w:rPr>
              <w:rFonts w:hint="eastAsia" w:ascii="宋体" w:hAnsi="宋体" w:eastAsia="宋体" w:cs="宋体"/>
              <w:b/>
              <w:bCs/>
              <w:sz w:val="36"/>
              <w:szCs w:val="36"/>
            </w:rPr>
          </w:pPr>
          <w:r>
            <w:rPr>
              <w:rFonts w:hint="eastAsia" w:ascii="宋体" w:hAnsi="宋体" w:eastAsia="宋体" w:cs="宋体"/>
              <w:b/>
              <w:bCs/>
              <w:sz w:val="36"/>
              <w:szCs w:val="36"/>
            </w:rPr>
            <w:t>目</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录</w:t>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_Toc7413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_Toc7413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_Toc20971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二、</w:t>
          </w:r>
          <w:r>
            <w:rPr>
              <w:rFonts w:hint="eastAsia" w:ascii="宋体" w:hAnsi="宋体" w:eastAsia="宋体" w:cs="宋体"/>
              <w:sz w:val="28"/>
              <w:szCs w:val="28"/>
            </w:rPr>
            <w:t>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_Toc20971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_Toc10107 </w:instrText>
          </w:r>
          <w:r>
            <w:rPr>
              <w:rFonts w:hint="eastAsia" w:ascii="宋体" w:hAnsi="宋体" w:eastAsia="宋体" w:cs="宋体"/>
              <w:sz w:val="28"/>
              <w:szCs w:val="28"/>
            </w:rPr>
            <w:fldChar w:fldCharType="separate"/>
          </w:r>
          <w:r>
            <w:rPr>
              <w:rFonts w:hint="eastAsia" w:ascii="宋体" w:hAnsi="宋体" w:eastAsia="宋体" w:cs="宋体"/>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_Toc10107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_Toc4454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val="en-US" w:eastAsia="zh-CN"/>
            </w:rPr>
            <w:t>（二） 历史文献及周边考古成果调查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_Toc4454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_Toc31745 </w:instrText>
          </w:r>
          <w:r>
            <w:rPr>
              <w:rFonts w:hint="eastAsia" w:ascii="宋体" w:hAnsi="宋体" w:eastAsia="宋体" w:cs="宋体"/>
              <w:sz w:val="28"/>
              <w:szCs w:val="28"/>
            </w:rPr>
            <w:fldChar w:fldCharType="separate"/>
          </w:r>
          <w:r>
            <w:rPr>
              <w:rFonts w:hint="eastAsia" w:ascii="宋体" w:hAnsi="宋体" w:eastAsia="宋体" w:cs="宋体"/>
              <w:bCs/>
              <w:kern w:val="28"/>
              <w:sz w:val="28"/>
              <w:szCs w:val="28"/>
              <w:lang w:val="en-US" w:eastAsia="zh-CN" w:bidi="ar-SA"/>
            </w:rPr>
            <w:t>（三）现场踏查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_Toc31745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_Toc19087 </w:instrText>
          </w:r>
          <w:r>
            <w:rPr>
              <w:rFonts w:hint="eastAsia" w:ascii="宋体" w:hAnsi="宋体" w:eastAsia="宋体" w:cs="宋体"/>
              <w:sz w:val="28"/>
              <w:szCs w:val="28"/>
            </w:rPr>
            <w:fldChar w:fldCharType="separate"/>
          </w:r>
          <w:r>
            <w:rPr>
              <w:rFonts w:hint="eastAsia" w:ascii="宋体" w:hAnsi="宋体" w:eastAsia="宋体" w:cs="宋体"/>
              <w:bCs/>
              <w:kern w:val="28"/>
              <w:sz w:val="28"/>
              <w:szCs w:val="28"/>
              <w:lang w:val="en-US" w:eastAsia="zh-CN" w:bidi="ar-SA"/>
            </w:rPr>
            <w:t>（四）考古试探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_Toc19087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_Toc23928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bidi="ar-SA"/>
            </w:rPr>
            <w:t>三、考古调查结果和文物保护意见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_Toc23928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_Toc27632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（一）考古调查结果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_Toc27632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_Toc25116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_Toc25116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_Toc30030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lang w:val="en-US" w:eastAsia="zh-CN" w:bidi="en-US"/>
            </w:rPr>
            <w:t xml:space="preserve">附表一  </w:t>
          </w:r>
          <w:r>
            <w:rPr>
              <w:rFonts w:hint="eastAsia" w:ascii="宋体" w:hAnsi="宋体" w:cs="宋体"/>
              <w:bCs/>
              <w:spacing w:val="-11"/>
              <w:kern w:val="44"/>
              <w:sz w:val="28"/>
              <w:szCs w:val="28"/>
              <w:lang w:val="en-US" w:eastAsia="zh-CN" w:bidi="en-US"/>
            </w:rPr>
            <w:t>增城区中新镇广汕公路北侧66.186亩地块</w:t>
          </w:r>
          <w:r>
            <w:rPr>
              <w:rFonts w:hint="eastAsia" w:ascii="宋体" w:hAnsi="宋体" w:eastAsia="宋体" w:cs="宋体"/>
              <w:bCs/>
              <w:spacing w:val="-11"/>
              <w:kern w:val="44"/>
              <w:sz w:val="28"/>
              <w:szCs w:val="28"/>
              <w:lang w:val="en-US" w:eastAsia="zh-CN" w:bidi="en-US"/>
            </w:rPr>
            <w:t>考古调查试探数据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_Toc30030 \h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left="1120" w:hanging="1120" w:hangingChars="4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_Toc2888 </w:instrText>
          </w:r>
          <w:r>
            <w:rPr>
              <w:rFonts w:hint="eastAsia" w:ascii="宋体" w:hAnsi="宋体" w:eastAsia="宋体" w:cs="宋体"/>
              <w:sz w:val="28"/>
              <w:szCs w:val="28"/>
            </w:rPr>
            <w:fldChar w:fldCharType="separate"/>
          </w:r>
          <w:r>
            <w:rPr>
              <w:rFonts w:hint="eastAsia" w:ascii="宋体" w:hAnsi="宋体" w:eastAsia="宋体" w:cs="宋体"/>
              <w:sz w:val="28"/>
              <w:szCs w:val="28"/>
              <w:lang w:bidi="en-US"/>
            </w:rPr>
            <w:t>附录一</w:t>
          </w:r>
          <w:r>
            <w:rPr>
              <w:rFonts w:hint="eastAsia" w:ascii="宋体" w:hAnsi="宋体" w:eastAsia="宋体" w:cs="宋体"/>
              <w:sz w:val="28"/>
              <w:szCs w:val="28"/>
              <w:lang w:val="en-US" w:eastAsia="zh-CN" w:bidi="en-US"/>
            </w:rPr>
            <w:t xml:space="preserve">  </w:t>
          </w:r>
          <w:r>
            <w:rPr>
              <w:rFonts w:hint="eastAsia" w:ascii="宋体" w:hAnsi="宋体" w:cs="宋体"/>
              <w:kern w:val="2"/>
              <w:sz w:val="28"/>
              <w:szCs w:val="28"/>
              <w:highlight w:val="none"/>
              <w:lang w:val="en-US" w:eastAsia="zh-CN" w:bidi="zh-CN"/>
            </w:rPr>
            <w:t>广州市文物局关于增城区2023年度第一批地块考古调查勘探工作的复函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_Toc2888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_Toc2194 </w:instrText>
          </w:r>
          <w:r>
            <w:rPr>
              <w:rFonts w:hint="eastAsia" w:ascii="宋体" w:hAnsi="宋体" w:eastAsia="宋体" w:cs="宋体"/>
              <w:sz w:val="28"/>
              <w:szCs w:val="28"/>
            </w:rPr>
            <w:fldChar w:fldCharType="separate"/>
          </w:r>
          <w:r>
            <w:rPr>
              <w:rFonts w:hint="eastAsia" w:ascii="宋体" w:hAnsi="宋体" w:eastAsia="宋体" w:cs="宋体"/>
              <w:sz w:val="28"/>
              <w:szCs w:val="28"/>
            </w:rPr>
            <w:t>附录二</w:t>
          </w:r>
          <w:r>
            <w:rPr>
              <w:rFonts w:hint="eastAsia" w:ascii="宋体" w:hAnsi="宋体" w:eastAsia="宋体" w:cs="宋体"/>
              <w:sz w:val="28"/>
              <w:szCs w:val="28"/>
              <w:lang w:val="en-US" w:eastAsia="zh-CN"/>
            </w:rPr>
            <w:t xml:space="preserve">  广州市文物考古研究院考古发掘资质证书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_Toc2194 \h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_Toc2365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bidi="en-US"/>
            </w:rPr>
            <w:t>附录</w:t>
          </w:r>
          <w:r>
            <w:rPr>
              <w:rFonts w:hint="eastAsia" w:ascii="宋体" w:hAnsi="宋体" w:eastAsia="宋体" w:cs="宋体"/>
              <w:sz w:val="28"/>
              <w:szCs w:val="28"/>
              <w:lang w:val="en-US" w:eastAsia="zh-CN" w:bidi="en-US"/>
            </w:rPr>
            <w:t xml:space="preserve">三  </w:t>
          </w:r>
          <w:r>
            <w:rPr>
              <w:rFonts w:hint="eastAsia" w:ascii="宋体" w:hAnsi="宋体" w:eastAsia="宋体" w:cs="宋体"/>
              <w:sz w:val="28"/>
              <w:szCs w:val="28"/>
              <w:lang w:eastAsia="zh-CN" w:bidi="en-US"/>
            </w:rPr>
            <w:t>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_Toc2365 \h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_Toc15123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bidi="en-US"/>
            </w:rPr>
            <w:t>附录</w:t>
          </w:r>
          <w:r>
            <w:rPr>
              <w:rFonts w:hint="eastAsia" w:ascii="宋体" w:hAnsi="宋体" w:eastAsia="宋体" w:cs="宋体"/>
              <w:sz w:val="28"/>
              <w:szCs w:val="28"/>
              <w:lang w:val="en-US" w:eastAsia="zh-CN" w:bidi="en-US"/>
            </w:rPr>
            <w:t xml:space="preserve">四  </w:t>
          </w:r>
          <w:r>
            <w:rPr>
              <w:rFonts w:hint="eastAsia" w:ascii="宋体" w:hAnsi="宋体" w:eastAsia="宋体" w:cs="宋体"/>
              <w:sz w:val="28"/>
              <w:szCs w:val="28"/>
              <w:lang w:eastAsia="zh-CN" w:bidi="en-US"/>
            </w:rPr>
            <w:t>关于本报告使用的专业术语、概念和标准的说明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_Toc15123 \h </w:instrText>
          </w:r>
          <w:r>
            <w:rPr>
              <w:rFonts w:hint="eastAsia" w:ascii="宋体" w:hAnsi="宋体" w:eastAsia="宋体" w:cs="宋体"/>
              <w:sz w:val="28"/>
              <w:szCs w:val="28"/>
            </w:rPr>
            <w:fldChar w:fldCharType="separate"/>
          </w:r>
          <w:r>
            <w:rPr>
              <w:rFonts w:hint="eastAsia"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spacing w:line="360" w:lineRule="auto"/>
            <w:ind w:left="0" w:leftChars="0" w:firstLine="0"/>
            <w:textAlignment w:val="auto"/>
            <w:rPr>
              <w:rFonts w:hint="eastAsia" w:ascii="宋体" w:hAnsi="宋体" w:cs="宋体"/>
              <w:b/>
              <w:bCs/>
              <w:sz w:val="28"/>
              <w:szCs w:val="28"/>
            </w:rPr>
          </w:pPr>
          <w:r>
            <w:rPr>
              <w:rFonts w:hint="eastAsia" w:ascii="宋体" w:hAnsi="宋体" w:eastAsia="宋体" w:cs="宋体"/>
              <w:sz w:val="28"/>
              <w:szCs w:val="28"/>
            </w:rPr>
            <w:fldChar w:fldCharType="end"/>
          </w:r>
        </w:p>
      </w:sdtContent>
    </w:sdt>
    <w:p/>
    <w:p>
      <w:pPr>
        <w:spacing w:line="360" w:lineRule="auto"/>
        <w:jc w:val="center"/>
      </w:pPr>
    </w:p>
    <w:p>
      <w:pPr>
        <w:spacing w:line="360" w:lineRule="auto"/>
        <w:jc w:val="center"/>
        <w:rPr>
          <w:rStyle w:val="37"/>
        </w:rPr>
        <w:sectPr>
          <w:footerReference r:id="rId3" w:type="default"/>
          <w:pgSz w:w="11906" w:h="16838"/>
          <w:pgMar w:top="1440" w:right="1800" w:bottom="1440" w:left="1800" w:header="851" w:footer="992" w:gutter="0"/>
          <w:pgNumType w:start="1"/>
          <w:cols w:space="720" w:num="1"/>
          <w:docGrid w:type="lines" w:linePitch="312" w:charSpace="0"/>
        </w:sectPr>
      </w:pPr>
    </w:p>
    <w:p>
      <w:pPr>
        <w:spacing w:line="360" w:lineRule="auto"/>
        <w:jc w:val="center"/>
        <w:outlineLvl w:val="0"/>
        <w:rPr>
          <w:rFonts w:ascii="宋体" w:hAnsi="宋体"/>
          <w:color w:val="FF0000"/>
          <w:szCs w:val="21"/>
        </w:rPr>
      </w:pPr>
      <w:bookmarkStart w:id="18" w:name="_Toc7413"/>
      <w:bookmarkStart w:id="19" w:name="_Toc23341"/>
      <w:bookmarkStart w:id="20" w:name="_Toc23206"/>
      <w:bookmarkStart w:id="21" w:name="_Toc23903"/>
      <w:r>
        <w:rPr>
          <w:rStyle w:val="56"/>
          <w:rFonts w:hint="eastAsia"/>
        </w:rPr>
        <w:t>一、项目概况</w:t>
      </w:r>
      <w:bookmarkEnd w:id="18"/>
      <w:bookmarkEnd w:id="19"/>
    </w:p>
    <w:p>
      <w:pPr>
        <w:pStyle w:val="5"/>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kern w:val="0"/>
          <w:sz w:val="24"/>
          <w:szCs w:val="24"/>
          <w:lang w:val="en-US" w:eastAsia="zh-CN" w:bidi="ar-SA"/>
        </w:rPr>
      </w:pPr>
      <w:r>
        <w:rPr>
          <w:rFonts w:hint="eastAsia" w:cs="宋体"/>
          <w:kern w:val="2"/>
          <w:sz w:val="24"/>
          <w:szCs w:val="24"/>
          <w:highlight w:val="none"/>
          <w:lang w:val="en-US" w:eastAsia="zh-CN" w:bidi="zh-CN"/>
        </w:rPr>
        <w:t>增城区中新镇广汕公路北侧66.186亩地块</w:t>
      </w:r>
      <w:r>
        <w:rPr>
          <w:rFonts w:hint="eastAsia" w:ascii="宋体" w:hAnsi="宋体" w:cs="宋体"/>
          <w:sz w:val="24"/>
          <w:szCs w:val="24"/>
          <w:lang w:val="en-US" w:eastAsia="zh-CN"/>
        </w:rPr>
        <w:t>位于</w:t>
      </w:r>
      <w:r>
        <w:rPr>
          <w:rFonts w:hint="eastAsia" w:ascii="宋体" w:hAnsi="宋体" w:eastAsia="宋体" w:cs="宋体"/>
          <w:kern w:val="2"/>
          <w:sz w:val="24"/>
          <w:szCs w:val="24"/>
          <w:highlight w:val="none"/>
          <w:lang w:val="en-US" w:eastAsia="zh-CN" w:bidi="zh-CN"/>
        </w:rPr>
        <w:t>广州市增城区</w:t>
      </w:r>
      <w:r>
        <w:rPr>
          <w:rFonts w:hint="eastAsia" w:cs="宋体"/>
          <w:kern w:val="2"/>
          <w:sz w:val="24"/>
          <w:szCs w:val="24"/>
          <w:highlight w:val="none"/>
          <w:lang w:val="en-US" w:eastAsia="zh-CN" w:bidi="zh-CN"/>
        </w:rPr>
        <w:t>中新镇乌石村</w:t>
      </w:r>
      <w:r>
        <w:rPr>
          <w:rFonts w:hint="eastAsia" w:ascii="宋体" w:hAnsi="宋体" w:eastAsia="宋体" w:cs="宋体"/>
          <w:kern w:val="2"/>
          <w:sz w:val="24"/>
          <w:szCs w:val="24"/>
          <w:highlight w:val="none"/>
          <w:lang w:val="en-US" w:eastAsia="zh-CN" w:bidi="zh-CN"/>
        </w:rPr>
        <w:t>内，</w:t>
      </w:r>
      <w:r>
        <w:rPr>
          <w:rFonts w:hint="eastAsia" w:cs="宋体"/>
          <w:kern w:val="2"/>
          <w:sz w:val="24"/>
          <w:szCs w:val="24"/>
          <w:highlight w:val="none"/>
          <w:lang w:val="en-US" w:eastAsia="zh-CN" w:bidi="zh-CN"/>
        </w:rPr>
        <w:t>西部、南部临坑贝水</w:t>
      </w:r>
      <w:r>
        <w:rPr>
          <w:rFonts w:hint="eastAsia" w:ascii="宋体" w:hAnsi="宋体" w:eastAsia="宋体" w:cs="宋体"/>
          <w:kern w:val="2"/>
          <w:sz w:val="24"/>
          <w:szCs w:val="24"/>
          <w:highlight w:val="none"/>
          <w:lang w:val="en-US" w:eastAsia="zh-CN" w:bidi="zh-CN"/>
        </w:rPr>
        <w:t>，南至</w:t>
      </w:r>
      <w:r>
        <w:rPr>
          <w:rFonts w:hint="eastAsia" w:cs="宋体"/>
          <w:kern w:val="2"/>
          <w:sz w:val="24"/>
          <w:szCs w:val="24"/>
          <w:highlight w:val="none"/>
          <w:lang w:val="en-US" w:eastAsia="zh-CN" w:bidi="zh-CN"/>
        </w:rPr>
        <w:t>广汕公路</w:t>
      </w:r>
      <w:r>
        <w:rPr>
          <w:rFonts w:hint="eastAsia" w:ascii="宋体" w:hAnsi="宋体" w:eastAsia="宋体" w:cs="宋体"/>
          <w:kern w:val="2"/>
          <w:sz w:val="24"/>
          <w:szCs w:val="24"/>
          <w:highlight w:val="none"/>
          <w:lang w:val="en-US" w:eastAsia="zh-CN" w:bidi="zh-CN"/>
        </w:rPr>
        <w:t>，东</w:t>
      </w:r>
      <w:r>
        <w:rPr>
          <w:rFonts w:hint="eastAsia" w:cs="宋体"/>
          <w:kern w:val="2"/>
          <w:sz w:val="24"/>
          <w:szCs w:val="24"/>
          <w:highlight w:val="none"/>
          <w:lang w:val="en-US" w:eastAsia="zh-CN" w:bidi="zh-CN"/>
        </w:rPr>
        <w:t>至乌石南一路</w:t>
      </w:r>
      <w:r>
        <w:rPr>
          <w:rFonts w:hint="eastAsia" w:ascii="宋体" w:hAnsi="宋体" w:eastAsia="宋体" w:cs="宋体"/>
          <w:kern w:val="2"/>
          <w:sz w:val="24"/>
          <w:szCs w:val="24"/>
          <w:highlight w:val="none"/>
          <w:lang w:val="en-US" w:eastAsia="zh-CN" w:bidi="zh-CN"/>
        </w:rPr>
        <w:t>。</w:t>
      </w:r>
      <w:r>
        <w:rPr>
          <w:rFonts w:hint="eastAsia" w:cs="宋体"/>
          <w:color w:val="auto"/>
          <w:kern w:val="0"/>
          <w:sz w:val="24"/>
          <w:szCs w:val="24"/>
          <w:lang w:val="en-US" w:eastAsia="zh-CN" w:bidi="ar-SA"/>
        </w:rPr>
        <w:t>该项目总用地面积约</w:t>
      </w:r>
      <w:r>
        <w:rPr>
          <w:rFonts w:hint="eastAsia" w:cs="宋体"/>
          <w:color w:val="auto"/>
          <w:sz w:val="24"/>
          <w:szCs w:val="24"/>
          <w:lang w:val="en-US" w:eastAsia="zh-CN"/>
        </w:rPr>
        <w:t>44124</w:t>
      </w:r>
      <w:r>
        <w:rPr>
          <w:rFonts w:hint="eastAsia" w:ascii="宋体" w:hAnsi="宋体" w:cs="宋体"/>
          <w:color w:val="auto"/>
          <w:sz w:val="24"/>
          <w:szCs w:val="24"/>
          <w:lang w:val="en-US" w:eastAsia="zh-CN"/>
        </w:rPr>
        <w:t>平方米</w:t>
      </w:r>
      <w:r>
        <w:rPr>
          <w:rFonts w:hint="eastAsia" w:ascii="宋体" w:hAnsi="宋体" w:eastAsia="宋体" w:cs="宋体"/>
          <w:color w:val="auto"/>
          <w:kern w:val="0"/>
          <w:sz w:val="24"/>
          <w:szCs w:val="24"/>
          <w:lang w:val="en-US" w:eastAsia="zh-CN" w:bidi="ar-SA"/>
        </w:rPr>
        <w:t>，由</w:t>
      </w:r>
      <w:r>
        <w:rPr>
          <w:rFonts w:hint="eastAsia" w:cs="宋体"/>
          <w:color w:val="auto"/>
          <w:kern w:val="0"/>
          <w:sz w:val="24"/>
          <w:szCs w:val="24"/>
          <w:lang w:val="en-US" w:eastAsia="zh-CN" w:bidi="ar-SA"/>
        </w:rPr>
        <w:t>广州市增城区土地开发储备中心</w:t>
      </w:r>
      <w:r>
        <w:rPr>
          <w:rFonts w:hint="eastAsia"/>
          <w:color w:val="auto"/>
          <w:spacing w:val="0"/>
          <w:w w:val="100"/>
          <w:position w:val="0"/>
          <w:lang w:val="en-US" w:eastAsia="zh-CN"/>
        </w:rPr>
        <w:t>负责收储出让</w:t>
      </w:r>
      <w:r>
        <w:rPr>
          <w:rFonts w:hint="eastAsia" w:ascii="宋体" w:hAnsi="宋体" w:eastAsia="宋体" w:cs="宋体"/>
          <w:color w:val="auto"/>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该地块四至坐标为：西南角N23°17′24.83″</w:t>
      </w:r>
      <w:r>
        <w:rPr>
          <w:rFonts w:hint="eastAsia" w:ascii="宋体" w:hAnsi="宋体" w:cs="宋体"/>
          <w:kern w:val="2"/>
          <w:sz w:val="24"/>
          <w:szCs w:val="24"/>
          <w:highlight w:val="none"/>
          <w:lang w:val="en-US" w:eastAsia="zh-CN" w:bidi="zh-CN"/>
        </w:rPr>
        <w:t>，E</w:t>
      </w:r>
      <w:r>
        <w:rPr>
          <w:rFonts w:hint="eastAsia" w:ascii="宋体" w:hAnsi="宋体" w:eastAsia="宋体" w:cs="宋体"/>
          <w:kern w:val="2"/>
          <w:sz w:val="24"/>
          <w:szCs w:val="24"/>
          <w:highlight w:val="none"/>
          <w:lang w:val="en-US" w:eastAsia="zh-CN" w:bidi="zh-CN"/>
        </w:rPr>
        <w:t>113°37′47.51″</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东南角N23°17′24.00″</w:t>
      </w:r>
      <w:r>
        <w:rPr>
          <w:rFonts w:hint="eastAsia" w:ascii="宋体" w:hAnsi="宋体" w:cs="宋体"/>
          <w:kern w:val="2"/>
          <w:sz w:val="24"/>
          <w:szCs w:val="24"/>
          <w:highlight w:val="none"/>
          <w:lang w:val="en-US" w:eastAsia="zh-CN" w:bidi="zh-CN"/>
        </w:rPr>
        <w:t>，E</w:t>
      </w:r>
      <w:r>
        <w:rPr>
          <w:rFonts w:hint="eastAsia" w:ascii="宋体" w:hAnsi="宋体" w:eastAsia="宋体" w:cs="宋体"/>
          <w:kern w:val="2"/>
          <w:sz w:val="24"/>
          <w:szCs w:val="24"/>
          <w:highlight w:val="none"/>
          <w:lang w:val="en-US" w:eastAsia="zh-CN" w:bidi="zh-CN"/>
        </w:rPr>
        <w:t>113°37′55.69″</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东北角N23°17</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27.88</w:t>
      </w:r>
      <w:r>
        <w:rPr>
          <w:rFonts w:hint="eastAsia" w:ascii="宋体" w:hAnsi="宋体" w:cs="宋体"/>
          <w:kern w:val="2"/>
          <w:sz w:val="24"/>
          <w:szCs w:val="24"/>
          <w:highlight w:val="none"/>
          <w:lang w:val="en-US" w:eastAsia="zh-CN" w:bidi="zh-CN"/>
        </w:rPr>
        <w:t>″，E</w:t>
      </w:r>
      <w:r>
        <w:rPr>
          <w:rFonts w:hint="eastAsia" w:ascii="宋体" w:hAnsi="宋体" w:eastAsia="宋体" w:cs="宋体"/>
          <w:kern w:val="2"/>
          <w:sz w:val="24"/>
          <w:szCs w:val="24"/>
          <w:highlight w:val="none"/>
          <w:lang w:val="en-US" w:eastAsia="zh-CN" w:bidi="zh-CN"/>
        </w:rPr>
        <w:t>113°37</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56.75</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西北角N23°17′31.97″</w:t>
      </w:r>
      <w:r>
        <w:rPr>
          <w:rFonts w:hint="eastAsia" w:ascii="宋体" w:hAnsi="宋体" w:cs="宋体"/>
          <w:kern w:val="2"/>
          <w:sz w:val="24"/>
          <w:szCs w:val="24"/>
          <w:highlight w:val="none"/>
          <w:lang w:val="en-US" w:eastAsia="zh-CN" w:bidi="zh-CN"/>
        </w:rPr>
        <w:t>，E</w:t>
      </w:r>
      <w:r>
        <w:rPr>
          <w:rFonts w:hint="eastAsia" w:ascii="宋体" w:hAnsi="宋体" w:eastAsia="宋体" w:cs="宋体"/>
          <w:kern w:val="2"/>
          <w:sz w:val="24"/>
          <w:szCs w:val="24"/>
          <w:highlight w:val="none"/>
          <w:lang w:val="en-US" w:eastAsia="zh-CN" w:bidi="zh-CN"/>
        </w:rPr>
        <w:t>113°37′48.57″</w:t>
      </w:r>
      <w:r>
        <w:rPr>
          <w:rFonts w:hint="eastAsia" w:ascii="宋体" w:hAnsi="宋体" w:cs="宋体"/>
          <w:kern w:val="2"/>
          <w:sz w:val="24"/>
          <w:szCs w:val="24"/>
          <w:highlight w:val="none"/>
          <w:lang w:val="en-US" w:eastAsia="zh-CN" w:bidi="zh-CN"/>
        </w:rPr>
        <w:t>。</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根据《中华人民共和国文物保护法》《广州市文物保护规定》，按照</w:t>
      </w:r>
      <w:r>
        <w:rPr>
          <w:rFonts w:hint="eastAsia" w:cs="宋体"/>
          <w:kern w:val="2"/>
          <w:sz w:val="24"/>
          <w:szCs w:val="24"/>
          <w:highlight w:val="none"/>
          <w:lang w:val="en-US" w:eastAsia="zh-CN" w:bidi="zh-CN"/>
        </w:rPr>
        <w:t>《广州市文物局关于增城区2023年度第一批地块考古调查勘探工作的复函》（文物2023207号）</w:t>
      </w:r>
      <w:r>
        <w:rPr>
          <w:rFonts w:hint="eastAsia" w:ascii="宋体" w:hAnsi="宋体" w:eastAsia="宋体" w:cs="宋体"/>
          <w:color w:val="auto"/>
          <w:kern w:val="2"/>
          <w:sz w:val="24"/>
          <w:szCs w:val="24"/>
          <w:highlight w:val="none"/>
          <w:lang w:val="en-US" w:eastAsia="zh-CN" w:bidi="zh-CN"/>
        </w:rPr>
        <w:t>指导意见</w:t>
      </w:r>
      <w:r>
        <w:rPr>
          <w:rFonts w:hint="eastAsia" w:cs="宋体"/>
          <w:color w:val="auto"/>
          <w:kern w:val="2"/>
          <w:sz w:val="24"/>
          <w:szCs w:val="24"/>
          <w:highlight w:val="none"/>
          <w:lang w:val="en-US" w:eastAsia="zh-CN" w:bidi="zh-CN"/>
        </w:rPr>
        <w:t>，</w:t>
      </w:r>
      <w:r>
        <w:rPr>
          <w:rFonts w:hint="eastAsia" w:ascii="宋体" w:hAnsi="宋体" w:eastAsia="宋体" w:cs="宋体"/>
          <w:color w:val="auto"/>
          <w:kern w:val="2"/>
          <w:sz w:val="24"/>
          <w:szCs w:val="24"/>
          <w:highlight w:val="none"/>
          <w:lang w:val="en-US" w:eastAsia="zh-CN" w:bidi="zh-CN"/>
        </w:rPr>
        <w:t>受</w:t>
      </w:r>
      <w:r>
        <w:rPr>
          <w:rFonts w:hint="eastAsia" w:cs="宋体"/>
          <w:color w:val="auto"/>
          <w:kern w:val="2"/>
          <w:sz w:val="24"/>
          <w:szCs w:val="24"/>
          <w:highlight w:val="none"/>
          <w:lang w:val="en-US" w:eastAsia="zh-CN" w:bidi="zh-CN"/>
        </w:rPr>
        <w:t>广州市增城区土地开发储备中心</w:t>
      </w:r>
      <w:r>
        <w:rPr>
          <w:rFonts w:hint="eastAsia" w:ascii="宋体" w:hAnsi="宋体" w:eastAsia="宋体" w:cs="宋体"/>
          <w:kern w:val="2"/>
          <w:sz w:val="24"/>
          <w:szCs w:val="24"/>
          <w:highlight w:val="none"/>
          <w:lang w:val="en-US" w:eastAsia="zh-CN" w:bidi="zh-CN"/>
        </w:rPr>
        <w:t>的委托</w:t>
      </w:r>
      <w:r>
        <w:rPr>
          <w:rFonts w:hint="eastAsia" w:ascii="宋体" w:hAnsi="宋体" w:cs="宋体"/>
          <w:sz w:val="24"/>
          <w:szCs w:val="24"/>
        </w:rPr>
        <w:t>，</w:t>
      </w:r>
      <w:r>
        <w:rPr>
          <w:rFonts w:hint="eastAsia" w:ascii="宋体" w:hAnsi="宋体" w:eastAsia="宋体" w:cs="宋体"/>
          <w:kern w:val="2"/>
          <w:sz w:val="24"/>
          <w:szCs w:val="24"/>
          <w:highlight w:val="none"/>
          <w:lang w:val="en-US" w:eastAsia="zh-CN" w:bidi="zh-CN"/>
        </w:rPr>
        <w:t>由我院负责该项目的考古调查工作。</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bookmarkStart w:id="99" w:name="_GoBack"/>
      <w:r>
        <w:rPr>
          <w:rFonts w:hint="eastAsia" w:ascii="黑体" w:hAnsi="黑体" w:eastAsia="黑体" w:cs="黑体"/>
          <w:kern w:val="0"/>
          <w:sz w:val="21"/>
          <w:szCs w:val="21"/>
          <w:lang w:val="en-US" w:eastAsia="zh-CN" w:bidi="ar"/>
        </w:rPr>
        <w:drawing>
          <wp:inline distT="0" distB="0" distL="114300" distR="114300">
            <wp:extent cx="3689985" cy="5097145"/>
            <wp:effectExtent l="0" t="0" r="5715" b="8255"/>
            <wp:docPr id="34" name="图片 34" descr="项目在广州市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项目在广州市位置图"/>
                    <pic:cNvPicPr>
                      <a:picLocks noChangeAspect="1"/>
                    </pic:cNvPicPr>
                  </pic:nvPicPr>
                  <pic:blipFill>
                    <a:blip r:embed="rId8"/>
                    <a:stretch>
                      <a:fillRect/>
                    </a:stretch>
                  </pic:blipFill>
                  <pic:spPr>
                    <a:xfrm>
                      <a:off x="0" y="0"/>
                      <a:ext cx="3689985" cy="5097145"/>
                    </a:xfrm>
                    <a:prstGeom prst="rect">
                      <a:avLst/>
                    </a:prstGeom>
                  </pic:spPr>
                </pic:pic>
              </a:graphicData>
            </a:graphic>
          </wp:inline>
        </w:drawing>
      </w:r>
      <w:bookmarkEnd w:id="99"/>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项目地块在广州市位置示意图（广东省自然资源厅）</w:t>
      </w:r>
    </w:p>
    <w:p>
      <w:pPr>
        <w:rPr>
          <w:rFonts w:ascii="宋体" w:hAnsi="宋体" w:eastAsia="宋体" w:cs="宋体"/>
          <w:kern w:val="0"/>
          <w:sz w:val="24"/>
          <w:szCs w:val="24"/>
          <w:lang w:val="en-US" w:eastAsia="zh-CN" w:bidi="ar"/>
        </w:rPr>
      </w:pPr>
      <w:r>
        <w:rPr>
          <w:rFonts w:hint="eastAsia" w:ascii="黑体" w:hAnsi="黑体" w:eastAsia="黑体" w:cs="黑体"/>
          <w:w w:val="95"/>
          <w:sz w:val="21"/>
          <w:szCs w:val="21"/>
          <w:lang w:eastAsia="zh-CN"/>
        </w:rPr>
        <w:br w:type="page"/>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0975" cy="7266940"/>
            <wp:effectExtent l="0" t="0" r="15875" b="10160"/>
            <wp:docPr id="35" name="图片 35" descr="项目在增城区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项目在增城区位置图"/>
                    <pic:cNvPicPr>
                      <a:picLocks noChangeAspect="1"/>
                    </pic:cNvPicPr>
                  </pic:nvPicPr>
                  <pic:blipFill>
                    <a:blip r:embed="rId9"/>
                    <a:stretch>
                      <a:fillRect/>
                    </a:stretch>
                  </pic:blipFill>
                  <pic:spPr>
                    <a:xfrm>
                      <a:off x="0" y="0"/>
                      <a:ext cx="5260975" cy="7266940"/>
                    </a:xfrm>
                    <a:prstGeom prst="rect">
                      <a:avLst/>
                    </a:prstGeom>
                  </pic:spPr>
                </pic:pic>
              </a:graphicData>
            </a:graphic>
          </wp:inline>
        </w:drawing>
      </w:r>
    </w:p>
    <w:p>
      <w:pPr>
        <w:pStyle w:val="9"/>
        <w:jc w:val="center"/>
        <w:rPr>
          <w:rFonts w:hint="eastAsia"/>
          <w:sz w:val="21"/>
          <w:szCs w:val="21"/>
          <w:lang w:val="en-US" w:eastAsia="zh-CN"/>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2</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w:t>
      </w:r>
      <w:r>
        <w:rPr>
          <w:rFonts w:hint="eastAsia" w:ascii="黑体" w:hAnsi="黑体" w:cs="黑体"/>
          <w:sz w:val="21"/>
          <w:szCs w:val="21"/>
          <w:lang w:val="en-US" w:eastAsia="zh-CN"/>
        </w:rPr>
        <w:t>项目</w:t>
      </w:r>
      <w:r>
        <w:rPr>
          <w:rFonts w:hint="eastAsia" w:ascii="黑体" w:hAnsi="黑体" w:eastAsia="黑体" w:cs="黑体"/>
          <w:sz w:val="21"/>
          <w:szCs w:val="21"/>
          <w:lang w:val="en-US" w:eastAsia="zh-CN"/>
        </w:rPr>
        <w:t>地块在增城区位置示意图（广东省自然资源厅）</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74310" cy="3460115"/>
            <wp:effectExtent l="0" t="0" r="2540" b="6985"/>
            <wp:docPr id="14" name="图片 14" descr="卫星影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卫星影像图"/>
                    <pic:cNvPicPr>
                      <a:picLocks noChangeAspect="1"/>
                    </pic:cNvPicPr>
                  </pic:nvPicPr>
                  <pic:blipFill>
                    <a:blip r:embed="rId10"/>
                    <a:stretch>
                      <a:fillRect/>
                    </a:stretch>
                  </pic:blipFill>
                  <pic:spPr>
                    <a:xfrm>
                      <a:off x="0" y="0"/>
                      <a:ext cx="5274310" cy="3460115"/>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项目地块卫星影像图（腾讯地图）</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drawing>
          <wp:inline distT="0" distB="0" distL="114300" distR="114300">
            <wp:extent cx="5265420" cy="4313555"/>
            <wp:effectExtent l="0" t="0" r="11430"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stretch>
                      <a:fillRect/>
                    </a:stretch>
                  </pic:blipFill>
                  <pic:spPr>
                    <a:xfrm>
                      <a:off x="0" y="0"/>
                      <a:ext cx="5265420" cy="4313555"/>
                    </a:xfrm>
                    <a:prstGeom prst="rect">
                      <a:avLst/>
                    </a:prstGeom>
                    <a:noFill/>
                    <a:ln>
                      <a:noFill/>
                    </a:ln>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4</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该项目地块地形红线图（增城土发供图）</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71135" cy="7448550"/>
            <wp:effectExtent l="0" t="0" r="5715" b="0"/>
            <wp:docPr id="13" name="图片 13" descr="土规CGCS2000_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土规CGCS2000_114(1)"/>
                    <pic:cNvPicPr>
                      <a:picLocks noChangeAspect="1"/>
                    </pic:cNvPicPr>
                  </pic:nvPicPr>
                  <pic:blipFill>
                    <a:blip r:embed="rId12"/>
                    <a:stretch>
                      <a:fillRect/>
                    </a:stretch>
                  </pic:blipFill>
                  <pic:spPr>
                    <a:xfrm>
                      <a:off x="0" y="0"/>
                      <a:ext cx="5271135" cy="7448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5</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该项目地块红线图（增城土发供图）</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br w:type="page"/>
      </w:r>
    </w:p>
    <w:p>
      <w:pPr>
        <w:numPr>
          <w:ilvl w:val="0"/>
          <w:numId w:val="0"/>
        </w:numPr>
        <w:spacing w:line="360" w:lineRule="auto"/>
        <w:ind w:leftChars="0"/>
        <w:jc w:val="center"/>
        <w:outlineLvl w:val="0"/>
        <w:rPr>
          <w:rStyle w:val="37"/>
          <w:rFonts w:hint="eastAsia"/>
        </w:rPr>
      </w:pPr>
      <w:bookmarkStart w:id="22" w:name="_Toc20971"/>
      <w:r>
        <w:rPr>
          <w:rStyle w:val="37"/>
          <w:rFonts w:hint="eastAsia"/>
          <w:lang w:val="en-US" w:eastAsia="zh-CN"/>
        </w:rPr>
        <w:t>二、</w:t>
      </w:r>
      <w:r>
        <w:rPr>
          <w:rStyle w:val="37"/>
          <w:rFonts w:hint="eastAsia"/>
        </w:rPr>
        <w:t>考古调查</w:t>
      </w:r>
      <w:bookmarkEnd w:id="20"/>
      <w:bookmarkEnd w:id="22"/>
    </w:p>
    <w:bookmarkEnd w:id="21"/>
    <w:p>
      <w:pPr>
        <w:pStyle w:val="17"/>
        <w:keepNext w:val="0"/>
        <w:keepLines w:val="0"/>
        <w:pageBreakBefore w:val="0"/>
        <w:widowControl w:val="0"/>
        <w:kinsoku/>
        <w:wordWrap/>
        <w:overflowPunct/>
        <w:topLinePunct w:val="0"/>
        <w:autoSpaceDE/>
        <w:autoSpaceDN/>
        <w:bidi w:val="0"/>
        <w:adjustRightInd/>
        <w:snapToGrid/>
        <w:spacing w:before="0" w:after="0" w:line="360" w:lineRule="auto"/>
        <w:ind w:left="0" w:right="0" w:firstLine="560" w:firstLineChars="200"/>
        <w:textAlignment w:val="auto"/>
      </w:pPr>
      <w:bookmarkStart w:id="23" w:name="_Toc14220"/>
      <w:bookmarkStart w:id="24" w:name="_Toc875"/>
      <w:bookmarkStart w:id="25" w:name="_Toc5422"/>
      <w:bookmarkStart w:id="26" w:name="_Toc1034"/>
      <w:bookmarkStart w:id="27" w:name="_Toc10107"/>
      <w:bookmarkStart w:id="28" w:name="_Toc31709"/>
      <w:bookmarkStart w:id="29" w:name="_Toc13493"/>
      <w:bookmarkStart w:id="30" w:name="_Toc6334"/>
      <w:bookmarkStart w:id="31" w:name="_Toc29213"/>
      <w:bookmarkStart w:id="32" w:name="_Toc13174"/>
      <w:r>
        <w:rPr>
          <w:rFonts w:hint="eastAsia"/>
        </w:rPr>
        <w:t>（一）工作方法</w:t>
      </w:r>
      <w:bookmarkEnd w:id="23"/>
      <w:bookmarkEnd w:id="24"/>
      <w:bookmarkEnd w:id="25"/>
      <w:bookmarkEnd w:id="26"/>
      <w:bookmarkEnd w:id="27"/>
      <w:bookmarkEnd w:id="28"/>
      <w:bookmarkEnd w:id="29"/>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rPr>
      </w:pPr>
      <w:r>
        <w:rPr>
          <w:rFonts w:hint="eastAsia"/>
          <w:sz w:val="24"/>
        </w:rPr>
        <w:t>考古调查的任务是发现、确认和研究文化遗存，为文化遗产保护提供依据，包括资料准备</w:t>
      </w:r>
      <w:r>
        <w:rPr>
          <w:rFonts w:hint="eastAsia"/>
          <w:sz w:val="24"/>
          <w:lang w:eastAsia="zh-CN"/>
        </w:rPr>
        <w:t>、</w:t>
      </w:r>
      <w:r>
        <w:rPr>
          <w:rFonts w:hint="eastAsia"/>
          <w:sz w:val="24"/>
        </w:rPr>
        <w:t>现场踏查和考古试探三个步骤。</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rPr>
      </w:pPr>
      <w:r>
        <w:rPr>
          <w:rFonts w:hint="eastAsia" w:ascii="宋体" w:hAnsi="宋体" w:cs="宋体"/>
          <w:sz w:val="24"/>
        </w:rPr>
        <w:t>1.</w:t>
      </w:r>
      <w:r>
        <w:rPr>
          <w:rFonts w:hint="eastAsia"/>
          <w:sz w:val="24"/>
        </w:rPr>
        <w:t>基础资料准备：搜集项目地块相关历史文献、考古成果和图像、测绘资料，初步了解该项目地块的历史沿革和文化堆积情况。</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选取广州市统一的投影平面坐标系与高程基准的地形图，地形图应准确反映工作区域、周边整体地形地貌、高程差别，以及具体遗迹形状、空间位置关系等，精度一般不低于1</w:t>
      </w:r>
      <w:r>
        <w:rPr>
          <w:rFonts w:hint="eastAsia" w:ascii="宋体" w:hAnsi="宋体" w:cs="宋体"/>
          <w:sz w:val="24"/>
          <w:lang w:eastAsia="zh-CN"/>
        </w:rPr>
        <w:t>：</w:t>
      </w:r>
      <w:r>
        <w:rPr>
          <w:rFonts w:hint="eastAsia" w:ascii="宋体" w:hAnsi="宋体" w:cs="宋体"/>
          <w:sz w:val="24"/>
        </w:rPr>
        <w:t>2000，局部地形实测图精度不低于1</w:t>
      </w:r>
      <w:r>
        <w:rPr>
          <w:rFonts w:hint="eastAsia" w:ascii="宋体" w:hAnsi="宋体" w:cs="宋体"/>
          <w:sz w:val="24"/>
          <w:lang w:eastAsia="zh-CN"/>
        </w:rPr>
        <w:t>：</w:t>
      </w:r>
      <w:r>
        <w:rPr>
          <w:rFonts w:hint="eastAsia" w:ascii="宋体" w:hAnsi="宋体" w:cs="宋体"/>
          <w:sz w:val="24"/>
        </w:rPr>
        <w:t>1000。</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掌握项目地块内地下线网、管网分布情况，制定避让方案。</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根据项目地块的现场情况和历年考古成果，制定科学、详实的工作计划，明确工作任务、技术路线、人员分工和职责、工作进度、文物保护措施和应急预案等。</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pacing w:val="0"/>
          <w:sz w:val="24"/>
        </w:rPr>
      </w:pPr>
      <w:r>
        <w:rPr>
          <w:rFonts w:hint="eastAsia" w:ascii="宋体" w:hAnsi="宋体" w:cs="宋体"/>
          <w:sz w:val="24"/>
        </w:rPr>
        <w:t>2.</w:t>
      </w:r>
      <w:r>
        <w:rPr>
          <w:rFonts w:hint="eastAsia"/>
          <w:sz w:val="24"/>
        </w:rPr>
        <w:t>现场</w:t>
      </w:r>
      <w:r>
        <w:rPr>
          <w:rFonts w:hint="eastAsia"/>
          <w:sz w:val="24"/>
          <w:lang w:eastAsia="zh-CN"/>
        </w:rPr>
        <w:t>踏查</w:t>
      </w:r>
      <w:r>
        <w:rPr>
          <w:rFonts w:hint="eastAsia"/>
          <w:sz w:val="24"/>
        </w:rPr>
        <w:t>：基本内容包括踏</w:t>
      </w:r>
      <w:r>
        <w:rPr>
          <w:rFonts w:hint="eastAsia"/>
          <w:sz w:val="24"/>
          <w:lang w:eastAsia="zh-CN"/>
        </w:rPr>
        <w:t>查</w:t>
      </w:r>
      <w:r>
        <w:rPr>
          <w:rFonts w:hint="eastAsia"/>
          <w:sz w:val="24"/>
        </w:rPr>
        <w:t>对象的位置、范围与面积、堆积状况、年代</w:t>
      </w:r>
      <w:r>
        <w:rPr>
          <w:rFonts w:hint="eastAsia"/>
          <w:spacing w:val="0"/>
          <w:sz w:val="24"/>
        </w:rPr>
        <w:t>与文化面貌、环境、保存现状等等。</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cs="宋体"/>
          <w:spacing w:val="0"/>
          <w:sz w:val="24"/>
        </w:rPr>
        <w:t>（1）</w:t>
      </w:r>
      <w:r>
        <w:rPr>
          <w:rFonts w:hint="eastAsia"/>
          <w:spacing w:val="0"/>
          <w:sz w:val="24"/>
        </w:rPr>
        <w:t>领队应熟悉</w:t>
      </w:r>
      <w:r>
        <w:rPr>
          <w:rFonts w:hint="eastAsia"/>
          <w:spacing w:val="0"/>
          <w:sz w:val="24"/>
          <w:lang w:eastAsia="zh-CN"/>
        </w:rPr>
        <w:t>项目地块</w:t>
      </w:r>
      <w:r>
        <w:rPr>
          <w:rFonts w:hint="eastAsia"/>
          <w:spacing w:val="0"/>
          <w:sz w:val="24"/>
        </w:rPr>
        <w:t>的地形地貌</w:t>
      </w:r>
      <w:r>
        <w:rPr>
          <w:rFonts w:hint="eastAsia" w:ascii="宋体" w:hAnsi="宋体" w:eastAsia="宋体" w:cs="宋体"/>
          <w:spacing w:val="0"/>
          <w:sz w:val="24"/>
        </w:rPr>
        <w:t>，观察</w:t>
      </w:r>
      <w:r>
        <w:rPr>
          <w:rFonts w:hint="eastAsia" w:ascii="宋体" w:hAnsi="宋体" w:eastAsia="宋体" w:cs="宋体"/>
          <w:spacing w:val="0"/>
          <w:sz w:val="24"/>
          <w:lang w:eastAsia="zh-CN"/>
        </w:rPr>
        <w:t>地块内</w:t>
      </w:r>
      <w:r>
        <w:rPr>
          <w:rFonts w:hint="eastAsia" w:ascii="宋体" w:hAnsi="宋体" w:eastAsia="宋体" w:cs="宋体"/>
          <w:spacing w:val="0"/>
          <w:sz w:val="24"/>
        </w:rPr>
        <w:t>地层断面，现场采集遗物标本，初步了解</w:t>
      </w:r>
      <w:r>
        <w:rPr>
          <w:rFonts w:hint="eastAsia" w:ascii="宋体" w:hAnsi="宋体" w:eastAsia="宋体" w:cs="宋体"/>
          <w:spacing w:val="0"/>
          <w:sz w:val="24"/>
          <w:lang w:eastAsia="zh-CN"/>
        </w:rPr>
        <w:t>地块内</w:t>
      </w:r>
      <w:r>
        <w:rPr>
          <w:rFonts w:hint="eastAsia" w:ascii="宋体" w:hAnsi="宋体" w:eastAsia="宋体" w:cs="宋体"/>
          <w:spacing w:val="0"/>
          <w:sz w:val="24"/>
        </w:rPr>
        <w:t>地层堆积情况，结合资料预判遗址性质。</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eastAsia="宋体" w:cs="宋体"/>
          <w:spacing w:val="0"/>
          <w:sz w:val="24"/>
        </w:rPr>
        <w:t>（2）现场踏</w:t>
      </w:r>
      <w:r>
        <w:rPr>
          <w:rFonts w:hint="eastAsia" w:ascii="宋体" w:hAnsi="宋体" w:eastAsia="宋体" w:cs="宋体"/>
          <w:spacing w:val="0"/>
          <w:sz w:val="24"/>
          <w:lang w:eastAsia="zh-CN"/>
        </w:rPr>
        <w:t>查</w:t>
      </w:r>
      <w:r>
        <w:rPr>
          <w:rFonts w:hint="eastAsia" w:ascii="宋体" w:hAnsi="宋体" w:eastAsia="宋体" w:cs="宋体"/>
          <w:spacing w:val="0"/>
          <w:sz w:val="24"/>
        </w:rPr>
        <w:t>应采用“拉网式”调查法，调查小组由</w:t>
      </w:r>
      <w:r>
        <w:rPr>
          <w:rFonts w:hint="eastAsia" w:ascii="宋体" w:hAnsi="宋体" w:cs="宋体"/>
          <w:spacing w:val="0"/>
          <w:sz w:val="24"/>
          <w:lang w:val="en-US" w:eastAsia="zh-CN"/>
        </w:rPr>
        <w:t>3-</w:t>
      </w:r>
      <w:r>
        <w:rPr>
          <w:rFonts w:hint="eastAsia" w:ascii="宋体" w:hAnsi="宋体" w:eastAsia="宋体" w:cs="宋体"/>
          <w:spacing w:val="0"/>
          <w:sz w:val="24"/>
        </w:rPr>
        <w:t>5人组成，对所有可能埋藏古代文化遗存的区域进行徒步踏查。</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eastAsia="宋体" w:cs="宋体"/>
          <w:spacing w:val="0"/>
          <w:sz w:val="24"/>
        </w:rPr>
        <w:t>（3）测量遗址的地理坐标，并标注在地形图上。</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eastAsia="宋体" w:cs="宋体"/>
          <w:spacing w:val="0"/>
          <w:sz w:val="24"/>
        </w:rPr>
        <w:t>（4）遗址范围与面积依据已暴露文化堆积的位置，并参照地表散见遗物的分布范围确定，必要时适当辅以勘探手段。</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val="en-US" w:eastAsia="zh-CN"/>
        </w:rPr>
        <w:t>3.考古试探：</w:t>
      </w:r>
      <w:r>
        <w:rPr>
          <w:rFonts w:hint="eastAsia" w:ascii="宋体" w:hAnsi="宋体" w:eastAsia="宋体" w:cs="宋体"/>
          <w:spacing w:val="0"/>
          <w:sz w:val="24"/>
          <w:szCs w:val="24"/>
        </w:rPr>
        <w:t>根据地块地形、地貌，在地块范围内选取至少</w:t>
      </w:r>
      <w:r>
        <w:rPr>
          <w:rFonts w:hint="eastAsia" w:ascii="宋体" w:hAnsi="宋体" w:cs="宋体"/>
          <w:spacing w:val="0"/>
          <w:sz w:val="24"/>
          <w:szCs w:val="24"/>
          <w:lang w:val="en-US" w:eastAsia="zh-CN"/>
        </w:rPr>
        <w:t>10</w:t>
      </w:r>
      <w:r>
        <w:rPr>
          <w:rFonts w:hint="eastAsia" w:ascii="宋体" w:hAnsi="宋体" w:eastAsia="宋体" w:cs="宋体"/>
          <w:spacing w:val="0"/>
          <w:sz w:val="24"/>
          <w:szCs w:val="24"/>
        </w:rPr>
        <w:t>个地方布点，进行初步勘探，提取土样并记录，以了解该地块内的地层堆积情况，为制定下一步工作计划和方案做好准备。</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试探探孔记录应包括各堆积层距离地面的深度、土质土色、</w:t>
      </w:r>
      <w:r>
        <w:rPr>
          <w:rFonts w:hint="eastAsia" w:ascii="宋体" w:hAnsi="宋体" w:cs="宋体"/>
          <w:spacing w:val="0"/>
          <w:sz w:val="24"/>
          <w:szCs w:val="24"/>
          <w:lang w:eastAsia="zh-CN"/>
        </w:rPr>
        <w:t>较致密</w:t>
      </w:r>
      <w:r>
        <w:rPr>
          <w:rFonts w:hint="eastAsia" w:ascii="宋体" w:hAnsi="宋体" w:eastAsia="宋体" w:cs="宋体"/>
          <w:spacing w:val="0"/>
          <w:sz w:val="24"/>
          <w:szCs w:val="24"/>
        </w:rPr>
        <w:t>度、包含物、堆积状况研判结论、现场留取图象清晰、色彩真实的探孔土样的影像记录。</w:t>
      </w:r>
    </w:p>
    <w:p>
      <w:pPr>
        <w:rPr>
          <w:rFonts w:hint="eastAsia"/>
          <w:color w:val="auto"/>
          <w:kern w:val="0"/>
          <w:lang w:val="en-US" w:eastAsia="zh-CN"/>
        </w:rPr>
      </w:pPr>
      <w:r>
        <w:rPr>
          <w:rFonts w:hint="eastAsia"/>
          <w:color w:val="auto"/>
          <w:kern w:val="0"/>
          <w:lang w:val="en-US" w:eastAsia="zh-CN"/>
        </w:rPr>
        <w:br w:type="page"/>
      </w:r>
    </w:p>
    <w:p>
      <w:pPr>
        <w:pStyle w:val="17"/>
        <w:keepNext w:val="0"/>
        <w:keepLines w:val="0"/>
        <w:pageBreakBefore w:val="0"/>
        <w:widowControl w:val="0"/>
        <w:numPr>
          <w:ilvl w:val="0"/>
          <w:numId w:val="2"/>
        </w:numPr>
        <w:kinsoku/>
        <w:wordWrap/>
        <w:overflowPunct/>
        <w:topLinePunct w:val="0"/>
        <w:autoSpaceDE/>
        <w:autoSpaceDN/>
        <w:bidi w:val="0"/>
        <w:adjustRightInd/>
        <w:snapToGrid/>
        <w:spacing w:before="30" w:after="30" w:line="360" w:lineRule="auto"/>
        <w:ind w:firstLine="560" w:firstLineChars="200"/>
        <w:textAlignment w:val="auto"/>
        <w:rPr>
          <w:rFonts w:hint="eastAsia"/>
          <w:color w:val="auto"/>
          <w:kern w:val="0"/>
          <w:lang w:val="en-US" w:eastAsia="zh-CN"/>
        </w:rPr>
      </w:pPr>
      <w:bookmarkStart w:id="33" w:name="_Toc18317"/>
      <w:bookmarkStart w:id="34" w:name="_Toc4454"/>
      <w:r>
        <w:rPr>
          <w:rFonts w:hint="eastAsia"/>
          <w:color w:val="auto"/>
          <w:kern w:val="0"/>
          <w:lang w:val="en-US" w:eastAsia="zh-CN"/>
        </w:rPr>
        <w:t>历史文献及周边考古成果调查</w:t>
      </w:r>
      <w:bookmarkEnd w:id="30"/>
      <w:bookmarkEnd w:id="31"/>
      <w:bookmarkEnd w:id="33"/>
      <w:bookmarkEnd w:id="34"/>
    </w:p>
    <w:p>
      <w:pPr>
        <w:keepNext w:val="0"/>
        <w:keepLines w:val="0"/>
        <w:pageBreakBefore w:val="0"/>
        <w:widowControl w:val="0"/>
        <w:kinsoku/>
        <w:wordWrap/>
        <w:overflowPunct/>
        <w:topLinePunct w:val="0"/>
        <w:autoSpaceDE/>
        <w:autoSpaceDN/>
        <w:bidi w:val="0"/>
        <w:adjustRightInd/>
        <w:snapToGrid/>
        <w:spacing w:line="450" w:lineRule="exact"/>
        <w:ind w:left="0" w:firstLine="480" w:firstLineChars="200"/>
        <w:textAlignment w:val="auto"/>
        <w:rPr>
          <w:rFonts w:hint="default" w:ascii="宋体" w:hAnsi="宋体" w:eastAsia="宋体" w:cs="宋体"/>
          <w:sz w:val="24"/>
          <w:szCs w:val="24"/>
          <w:lang w:val="en-US"/>
        </w:rPr>
      </w:pPr>
      <w:bookmarkStart w:id="35" w:name="_Toc14576"/>
      <w:r>
        <w:rPr>
          <w:rFonts w:hint="eastAsia" w:ascii="宋体" w:hAnsi="宋体" w:eastAsia="宋体" w:cs="宋体"/>
          <w:sz w:val="24"/>
          <w:szCs w:val="24"/>
          <w:lang w:val="en-US" w:eastAsia="zh-CN"/>
        </w:rPr>
        <w:t>根据</w:t>
      </w:r>
      <w:r>
        <w:rPr>
          <w:rFonts w:hint="eastAsia" w:ascii="宋体" w:hAnsi="宋体" w:cs="宋体"/>
          <w:sz w:val="24"/>
          <w:szCs w:val="24"/>
          <w:lang w:val="en-US" w:eastAsia="zh-CN"/>
        </w:rPr>
        <w:t>《广州市文物普查汇编·增城区卷》</w:t>
      </w:r>
      <w:r>
        <w:rPr>
          <w:rFonts w:hint="eastAsia" w:ascii="宋体" w:hAnsi="宋体" w:eastAsia="宋体" w:cs="宋体"/>
          <w:sz w:val="24"/>
          <w:szCs w:val="24"/>
          <w:lang w:val="en-US" w:eastAsia="zh-CN"/>
        </w:rPr>
        <w:t>记载，距离地块较近的文物资源主要有洪圣庙、垂昆公祠、</w:t>
      </w:r>
      <w:r>
        <w:rPr>
          <w:rFonts w:hint="eastAsia" w:ascii="宋体" w:hAnsi="宋体" w:eastAsia="宋体" w:cs="宋体"/>
          <w:sz w:val="24"/>
          <w:szCs w:val="24"/>
        </w:rPr>
        <w:t>汝楫祖祠</w:t>
      </w:r>
      <w:r>
        <w:rPr>
          <w:rFonts w:hint="eastAsia" w:ascii="宋体" w:hAnsi="宋体" w:eastAsia="宋体" w:cs="宋体"/>
          <w:sz w:val="24"/>
          <w:szCs w:val="24"/>
          <w:lang w:val="en-US" w:eastAsia="zh-CN"/>
        </w:rPr>
        <w:t xml:space="preserve"> 、渭征公祠、</w:t>
      </w:r>
      <w:r>
        <w:rPr>
          <w:rFonts w:hint="eastAsia" w:ascii="宋体" w:hAnsi="宋体" w:eastAsia="宋体" w:cs="宋体"/>
          <w:sz w:val="24"/>
          <w:szCs w:val="24"/>
        </w:rPr>
        <w:t>诒谋堂</w:t>
      </w:r>
      <w:r>
        <w:rPr>
          <w:rFonts w:hint="eastAsia" w:ascii="宋体" w:hAnsi="宋体" w:eastAsia="宋体" w:cs="宋体"/>
          <w:sz w:val="24"/>
          <w:szCs w:val="24"/>
          <w:lang w:val="en-US" w:eastAsia="zh-CN"/>
        </w:rPr>
        <w:t>。</w:t>
      </w:r>
    </w:p>
    <w:p>
      <w:pPr>
        <w:keepNext w:val="0"/>
        <w:keepLines w:val="0"/>
        <w:pageBreakBefore w:val="0"/>
        <w:widowControl w:val="0"/>
        <w:tabs>
          <w:tab w:val="left" w:pos="2880"/>
        </w:tabs>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洪圣庙</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位于中新镇乌石村大公街。始建于明，清嘉庆十年（1805）、道光四年（1824）、同治十一年（1872）和1999年有维修。坐西朝东，中路建筑三间两进，右侧保留有衬祠，总面阔15.05米，总进深16.4米，建筑占地246.82平方米。中路建筑为人字封火山墙，灰塑脊，碌灰筒瓦，青砖石脚墙，阶砖铺地。门前旷地宽阔。</w:t>
      </w:r>
      <w:r>
        <w:rPr>
          <w:rFonts w:hint="eastAsia" w:ascii="宋体" w:hAnsi="宋体" w:eastAsia="宋体" w:cs="宋体"/>
          <w:sz w:val="24"/>
          <w:szCs w:val="24"/>
          <w:lang w:val="en-US" w:eastAsia="zh-CN"/>
        </w:rPr>
        <w:t>2010年3月公布为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438015" cy="2901950"/>
            <wp:effectExtent l="0" t="0" r="635" b="12700"/>
            <wp:docPr id="16" name="图片 3" descr="14-洪圣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14-洪圣庙"/>
                    <pic:cNvPicPr>
                      <a:picLocks noChangeAspect="1"/>
                    </pic:cNvPicPr>
                  </pic:nvPicPr>
                  <pic:blipFill>
                    <a:blip r:embed="rId13"/>
                    <a:stretch>
                      <a:fillRect/>
                    </a:stretch>
                  </pic:blipFill>
                  <pic:spPr>
                    <a:xfrm>
                      <a:off x="0" y="0"/>
                      <a:ext cx="4438015" cy="2901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6</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洪圣庙</w:t>
      </w:r>
    </w:p>
    <w:p>
      <w:pPr>
        <w:pStyle w:val="4"/>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垂昆公祠</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中新镇乌石村乌石小学内。建于清光绪辛巳年（1881）。坐西朝东，三间三进，总面阔12米，总进深27.8米，建筑占地333.6平方米。人字封火山墙，灰塑博古脊，碌灰筒瓦，青砖石脚，红阶砖铺地。门前旷地宽阔，旷地上建有花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祠的左侧隔青云巷有一间书房厅，其造形略似古之“官船”，故当地人称其为“船厅”。面阔一间4.4米，进深三间14.3米，建筑占地62.92平方米。船厅高两层，船头较高，硬山顶，锅耳封火山墙，灰塑博古脊。船身稍矮，为八架卷棚顶。二楼原施木板阁，因木板腐朽。现改为钢筋水泥楼板。</w:t>
      </w:r>
      <w:r>
        <w:rPr>
          <w:rFonts w:hint="eastAsia" w:ascii="宋体" w:hAnsi="宋体" w:eastAsia="宋体" w:cs="宋体"/>
          <w:sz w:val="24"/>
          <w:szCs w:val="24"/>
          <w:lang w:val="en-US" w:eastAsia="zh-CN"/>
        </w:rPr>
        <w:t>2010年3月公布为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rPr>
          <w:rFonts w:hint="eastAsia" w:ascii="宋体" w:hAnsi="宋体" w:eastAsia="宋体" w:cs="宋体"/>
          <w:b/>
          <w:bCs/>
          <w:sz w:val="24"/>
          <w:szCs w:val="24"/>
        </w:rPr>
      </w:pPr>
      <w:r>
        <w:rPr>
          <w:rFonts w:hint="eastAsia" w:ascii="宋体" w:hAnsi="宋体" w:eastAsia="宋体" w:cs="宋体"/>
          <w:b/>
          <w:bCs/>
          <w:sz w:val="24"/>
          <w:szCs w:val="24"/>
        </w:rPr>
        <w:br w:type="page"/>
      </w:r>
    </w:p>
    <w:p>
      <w:pPr>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汝楫祖祠</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中新镇乌石村乌石小学内。建于清代。坐西朝东，三间两进，总面阔12.3米，总进深19.1米，建筑占地234.93平方米。人字封火山墙，灰塑博古脊，碌灰筒瓦，青砖石脚，红阶砖铺地。门前旷地宽阔，旷地上种有凤凰树，设有体育设施。</w:t>
      </w:r>
      <w:r>
        <w:rPr>
          <w:rFonts w:hint="eastAsia" w:ascii="宋体" w:hAnsi="宋体" w:eastAsia="宋体" w:cs="宋体"/>
          <w:sz w:val="24"/>
          <w:szCs w:val="24"/>
          <w:lang w:val="en-US" w:eastAsia="zh-CN"/>
        </w:rPr>
        <w:t>2010年3月公布为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43400" cy="2879725"/>
            <wp:effectExtent l="0" t="0" r="0" b="15875"/>
            <wp:docPr id="17" name="图片 3" descr="24-汝楫祖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24-汝楫祖祠"/>
                    <pic:cNvPicPr>
                      <a:picLocks noChangeAspect="1"/>
                    </pic:cNvPicPr>
                  </pic:nvPicPr>
                  <pic:blipFill>
                    <a:blip r:embed="rId14"/>
                    <a:stretch>
                      <a:fillRect/>
                    </a:stretch>
                  </pic:blipFill>
                  <pic:spPr>
                    <a:xfrm>
                      <a:off x="0" y="0"/>
                      <a:ext cx="4343400" cy="287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7</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汝楫祖祠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渭征公祠</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中新镇乌石村大公街，始建于明，清同治壬申年（1872）重建。坐西朝东，三间三进，总面阔10.4米，总进深24.1米，建筑占地250.64平方米。硬山顶，镬耳封火山墙，灰塑博古脊，碌灰筒瓦，青砖石脚，红阶砖铺地。门前旷地宽阔。</w:t>
      </w:r>
      <w:r>
        <w:rPr>
          <w:rFonts w:hint="eastAsia" w:ascii="宋体" w:hAnsi="宋体" w:eastAsia="宋体" w:cs="宋体"/>
          <w:sz w:val="24"/>
          <w:szCs w:val="24"/>
          <w:lang w:val="en-US" w:eastAsia="zh-CN"/>
        </w:rPr>
        <w:t>2010年3月公布为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241165" cy="2879725"/>
            <wp:effectExtent l="0" t="0" r="6985" b="15875"/>
            <wp:docPr id="19" name="图片 5" descr="渭征公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渭征公祠"/>
                    <pic:cNvPicPr>
                      <a:picLocks noChangeAspect="1"/>
                    </pic:cNvPicPr>
                  </pic:nvPicPr>
                  <pic:blipFill>
                    <a:blip r:embed="rId15"/>
                    <a:stretch>
                      <a:fillRect/>
                    </a:stretch>
                  </pic:blipFill>
                  <pic:spPr>
                    <a:xfrm>
                      <a:off x="0" y="0"/>
                      <a:ext cx="4241165" cy="287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8</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渭征公祠</w:t>
      </w:r>
    </w:p>
    <w:p>
      <w:pPr>
        <w:pStyle w:val="4"/>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诒谋堂</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中新镇乌石村头山街。始建于明，清至民国曾有维修。坐西朝东，三间三进，总面阔12米，总进深25.3米，建筑占地303.6平方米。硬山顶，镬耳封火山墙，灰塑龙船脊，碌灰筒瓦，青砖石脚，红阶砖铺地。门前旷地宽阔。</w:t>
      </w:r>
      <w:r>
        <w:rPr>
          <w:rFonts w:hint="eastAsia" w:ascii="宋体" w:hAnsi="宋体" w:eastAsia="宋体" w:cs="宋体"/>
          <w:sz w:val="24"/>
          <w:szCs w:val="24"/>
          <w:lang w:val="en-US" w:eastAsia="zh-CN"/>
        </w:rPr>
        <w:t>2010年3月公布为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163695" cy="2879725"/>
            <wp:effectExtent l="0" t="0" r="8255" b="15875"/>
            <wp:docPr id="20" name="图片 6" descr="24-诒谋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24-诒谋堂-2"/>
                    <pic:cNvPicPr>
                      <a:picLocks noChangeAspect="1"/>
                    </pic:cNvPicPr>
                  </pic:nvPicPr>
                  <pic:blipFill>
                    <a:blip r:embed="rId16"/>
                    <a:stretch>
                      <a:fillRect/>
                    </a:stretch>
                  </pic:blipFill>
                  <pic:spPr>
                    <a:xfrm>
                      <a:off x="0" y="0"/>
                      <a:ext cx="4163695" cy="287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9</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诒谋堂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近年来，我院在该地块附近进行过</w:t>
      </w:r>
      <w:r>
        <w:rPr>
          <w:rFonts w:hint="eastAsia" w:ascii="宋体" w:hAnsi="宋体" w:cs="宋体"/>
          <w:kern w:val="2"/>
          <w:sz w:val="24"/>
          <w:szCs w:val="24"/>
          <w:lang w:val="en-US" w:eastAsia="zh-CN" w:bidi="ar-SA"/>
        </w:rPr>
        <w:t>多宗</w:t>
      </w:r>
      <w:r>
        <w:rPr>
          <w:rFonts w:hint="eastAsia" w:ascii="宋体" w:hAnsi="宋体" w:eastAsia="宋体" w:cs="宋体"/>
          <w:kern w:val="2"/>
          <w:sz w:val="24"/>
          <w:szCs w:val="24"/>
          <w:lang w:val="en-US" w:eastAsia="zh-CN" w:bidi="ar-SA"/>
        </w:rPr>
        <w:t>考古工作：</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bookmarkStart w:id="36" w:name="_Toc31745"/>
      <w:r>
        <w:rPr>
          <w:rFonts w:hint="eastAsia" w:ascii="宋体" w:hAnsi="宋体" w:eastAsia="宋体" w:cs="宋体"/>
          <w:color w:val="auto"/>
          <w:kern w:val="2"/>
          <w:sz w:val="24"/>
          <w:szCs w:val="24"/>
          <w:lang w:val="en-US" w:eastAsia="zh-CN" w:bidi="ar-SA"/>
        </w:rPr>
        <w:t>2018年11月，对增城区中新镇九和村222.714亩地块进行了考古调查、勘探工作，勘探面积14800平方米，未发现古代文化遗存。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2019年6月，对增城区中新镇三迳村46.663亩地块进行了考古调查工作，未发现古代文化遗存。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2019年9月，对增城区中新镇坑贝村233.503亩地块进行了考古调查工作，未发现古代文化遗存。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2019年9月，对增城区中新镇大田村、山美村、团结村99.937亩地块进行了考古调查、勘探工作，勘探面积6600平方米，未发现古代文化遗存。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2019年12月，对增城区中新镇中新村237.139亩地块</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增城区中新镇中新村233.1亩地块进行了考古调查工作，未发现古代文化遗存。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2020年4月，对增城区中新镇集丰村、九和村41.306亩地块进行了考古调查工作，未发现古代文化遗存。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2021年7月至8月，对增城区中新镇新新公路东侧61.421亩地块进行了考古调查工作，未发现古代文化遗存。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2021年12月至2022年4月，对增城区西站片区项目进行了文物考古调查区域评估工作，考古调查未发现古代文化遗存，地块内现有5处增城区登记保护文物单位：坑贝官厅、坑贝书房、式谷毛公祠、毛志荣民宅、坑贝炮楼。</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2022年2月至3月，对增城区中新镇新福大道东侧129.379亩地块进行了考古调查、勘探工作，勘探面积8600平方米，未发现古代文化遗存和不可移动文物。</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2022年9月、10月，对增城国家级开发区中新园区基础设施配套中新下沉式再生水厂项目进行了考古调查工作，未发现古代文化遗存和不可移动文物。</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2022年8月至11月，对广州东部公铁联运枢纽工程（广州国际物流产业枢纽）一期工程项目第一批区域地块进行了考古调查、勘探工作，勘探面积60000平方米，发现清代墓葬5座。</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9月至11月，对广州东部公铁联运枢纽工程（广州国际物流产业枢纽）一期工程项目第二批区域地块进行了考古调查、勘探工作，勘探面积426000平方米，本次考古调查在该地块东部发现明墓1座、少量的夔纹陶片及明清陶瓷片。勘探时在地块中部发现近代房址1座，由于明墓和房址的保存情况较差，已随工清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2022年8月至11月，对广州东部公铁联运枢纽工程（广州国际物流产业枢纽）一期工程项目第三批区域地块进行了考古调查、勘探工作，勘探面积197000平方米，发现清代墓葬6座。</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2023年1月至2月，对</w:t>
      </w:r>
      <w:r>
        <w:rPr>
          <w:rFonts w:hint="eastAsia" w:ascii="宋体" w:hAnsi="宋体" w:eastAsia="宋体" w:cs="宋体"/>
          <w:kern w:val="2"/>
          <w:sz w:val="24"/>
          <w:szCs w:val="24"/>
          <w:highlight w:val="none"/>
          <w:lang w:val="en-US" w:eastAsia="zh-CN" w:bidi="zh-CN"/>
        </w:rPr>
        <w:t>增城区中新镇广汕公路北侧96.226亩地块</w:t>
      </w:r>
      <w:r>
        <w:rPr>
          <w:rFonts w:hint="eastAsia" w:ascii="宋体" w:hAnsi="宋体" w:eastAsia="宋体" w:cs="宋体"/>
          <w:color w:val="auto"/>
          <w:kern w:val="2"/>
          <w:sz w:val="24"/>
          <w:szCs w:val="24"/>
          <w:lang w:val="en-US" w:eastAsia="zh-CN" w:bidi="ar-SA"/>
        </w:rPr>
        <w:t>进行了考古调查工作，</w:t>
      </w:r>
      <w:r>
        <w:rPr>
          <w:rFonts w:hint="eastAsia" w:ascii="宋体" w:hAnsi="宋体" w:cs="宋体"/>
          <w:sz w:val="24"/>
          <w:szCs w:val="24"/>
          <w:lang w:val="en-US" w:eastAsia="zh-CN"/>
        </w:rPr>
        <w:t>未发现古代文化遗存和不可移动文物</w:t>
      </w:r>
      <w:r>
        <w:rPr>
          <w:rFonts w:hint="eastAsia" w:ascii="宋体" w:hAnsi="宋体" w:eastAsia="宋体" w:cs="宋体"/>
          <w:color w:val="auto"/>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2023年2月，对</w:t>
      </w:r>
      <w:r>
        <w:rPr>
          <w:rFonts w:hint="eastAsia" w:ascii="宋体" w:hAnsi="宋体" w:cs="宋体"/>
          <w:kern w:val="2"/>
          <w:sz w:val="24"/>
          <w:szCs w:val="24"/>
          <w:highlight w:val="none"/>
          <w:lang w:val="en-US" w:eastAsia="zh-CN" w:bidi="zh-CN"/>
        </w:rPr>
        <w:t>增城区中新镇广汕公路北侧168.175亩地块</w:t>
      </w:r>
      <w:r>
        <w:rPr>
          <w:rFonts w:hint="eastAsia" w:ascii="宋体" w:hAnsi="宋体" w:eastAsia="宋体" w:cs="宋体"/>
          <w:color w:val="auto"/>
          <w:kern w:val="2"/>
          <w:sz w:val="24"/>
          <w:szCs w:val="24"/>
          <w:lang w:val="en-US" w:eastAsia="zh-CN" w:bidi="ar-SA"/>
        </w:rPr>
        <w:t>进行了考古调查工作，</w:t>
      </w:r>
      <w:r>
        <w:rPr>
          <w:rFonts w:hint="eastAsia" w:ascii="宋体" w:hAnsi="宋体" w:cs="宋体"/>
          <w:sz w:val="24"/>
          <w:szCs w:val="24"/>
          <w:lang w:val="en-US" w:eastAsia="zh-CN"/>
        </w:rPr>
        <w:t>未发现古代文化遗存和不可移动文物</w:t>
      </w:r>
      <w:r>
        <w:rPr>
          <w:rFonts w:hint="eastAsia" w:ascii="宋体" w:hAnsi="宋体" w:eastAsia="宋体" w:cs="宋体"/>
          <w:color w:val="auto"/>
          <w:kern w:val="2"/>
          <w:sz w:val="24"/>
          <w:szCs w:val="24"/>
          <w:lang w:val="en-US" w:eastAsia="zh-CN" w:bidi="ar-SA"/>
        </w:rPr>
        <w:t>。</w:t>
      </w:r>
    </w:p>
    <w:p>
      <w:pPr>
        <w:pStyle w:val="17"/>
        <w:keepNext w:val="0"/>
        <w:keepLines w:val="0"/>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eastAsia="宋体" w:asciiTheme="majorHAnsi" w:hAnsiTheme="majorHAnsi" w:cstheme="majorBidi"/>
          <w:b w:val="0"/>
          <w:bCs/>
          <w:kern w:val="28"/>
          <w:sz w:val="28"/>
          <w:szCs w:val="32"/>
          <w:lang w:val="en-US" w:eastAsia="zh-CN" w:bidi="ar-SA"/>
        </w:rPr>
      </w:pPr>
    </w:p>
    <w:p>
      <w:pPr>
        <w:rPr>
          <w:rFonts w:hint="eastAsia" w:eastAsia="宋体" w:asciiTheme="majorHAnsi" w:hAnsiTheme="majorHAnsi" w:cstheme="majorBidi"/>
          <w:b w:val="0"/>
          <w:bCs/>
          <w:kern w:val="28"/>
          <w:sz w:val="28"/>
          <w:szCs w:val="32"/>
          <w:lang w:val="en-US" w:eastAsia="zh-CN" w:bidi="ar-SA"/>
        </w:rPr>
      </w:pPr>
    </w:p>
    <w:p>
      <w:pPr>
        <w:pStyle w:val="2"/>
        <w:rPr>
          <w:rFonts w:hint="eastAsia" w:eastAsia="宋体" w:asciiTheme="majorHAnsi" w:hAnsiTheme="majorHAnsi" w:cstheme="majorBidi"/>
          <w:b w:val="0"/>
          <w:bCs/>
          <w:kern w:val="28"/>
          <w:sz w:val="28"/>
          <w:szCs w:val="32"/>
          <w:lang w:val="en-US" w:eastAsia="zh-CN" w:bidi="ar-SA"/>
        </w:rPr>
      </w:pPr>
    </w:p>
    <w:p>
      <w:pPr>
        <w:pStyle w:val="4"/>
        <w:rPr>
          <w:rFonts w:hint="eastAsia" w:eastAsia="宋体" w:asciiTheme="majorHAnsi" w:hAnsiTheme="majorHAnsi" w:cstheme="majorBidi"/>
          <w:b w:val="0"/>
          <w:bCs/>
          <w:kern w:val="28"/>
          <w:sz w:val="28"/>
          <w:szCs w:val="32"/>
          <w:lang w:val="en-US" w:eastAsia="zh-CN" w:bidi="ar-SA"/>
        </w:rPr>
      </w:pPr>
    </w:p>
    <w:p>
      <w:pPr>
        <w:pStyle w:val="4"/>
        <w:rPr>
          <w:rFonts w:hint="eastAsia" w:eastAsia="宋体" w:asciiTheme="majorHAnsi" w:hAnsiTheme="majorHAnsi" w:cstheme="majorBidi"/>
          <w:b w:val="0"/>
          <w:bCs/>
          <w:kern w:val="28"/>
          <w:sz w:val="28"/>
          <w:szCs w:val="32"/>
          <w:lang w:val="en-US" w:eastAsia="zh-CN" w:bidi="ar-SA"/>
        </w:rPr>
      </w:pPr>
    </w:p>
    <w:p>
      <w:pPr>
        <w:pStyle w:val="17"/>
        <w:keepNext w:val="0"/>
        <w:keepLines w:val="0"/>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eastAsia="宋体" w:asciiTheme="majorHAnsi" w:hAnsiTheme="majorHAnsi" w:cstheme="majorBidi"/>
          <w:b w:val="0"/>
          <w:bCs/>
          <w:kern w:val="28"/>
          <w:sz w:val="28"/>
          <w:szCs w:val="32"/>
          <w:lang w:val="en-US" w:eastAsia="zh-CN" w:bidi="ar-SA"/>
        </w:rPr>
      </w:pPr>
      <w:r>
        <w:rPr>
          <w:rFonts w:hint="eastAsia" w:eastAsia="宋体" w:asciiTheme="majorHAnsi" w:hAnsiTheme="majorHAnsi" w:cstheme="majorBidi"/>
          <w:b w:val="0"/>
          <w:bCs/>
          <w:kern w:val="28"/>
          <w:sz w:val="28"/>
          <w:szCs w:val="32"/>
          <w:lang w:val="en-US" w:eastAsia="zh-CN" w:bidi="ar-SA"/>
        </w:rPr>
        <w:t>（三）现场</w:t>
      </w:r>
      <w:bookmarkEnd w:id="32"/>
      <w:r>
        <w:rPr>
          <w:rFonts w:hint="eastAsia" w:eastAsia="宋体" w:asciiTheme="majorHAnsi" w:hAnsiTheme="majorHAnsi" w:cstheme="majorBidi"/>
          <w:b w:val="0"/>
          <w:bCs/>
          <w:kern w:val="28"/>
          <w:sz w:val="28"/>
          <w:szCs w:val="32"/>
          <w:lang w:val="en-US" w:eastAsia="zh-CN" w:bidi="ar-SA"/>
        </w:rPr>
        <w:t>踏查</w:t>
      </w:r>
      <w:bookmarkEnd w:id="35"/>
      <w:bookmarkEnd w:id="36"/>
    </w:p>
    <w:p>
      <w:pPr>
        <w:spacing w:line="360" w:lineRule="auto"/>
        <w:ind w:firstLine="480" w:firstLineChars="200"/>
        <w:rPr>
          <w:rFonts w:hint="eastAsia" w:ascii="宋体" w:hAnsi="宋体" w:eastAsia="宋体" w:cs="宋体"/>
          <w:sz w:val="24"/>
          <w:szCs w:val="24"/>
          <w:lang w:val="zh-CN" w:eastAsia="zh-CN"/>
        </w:rPr>
      </w:pPr>
      <w:bookmarkStart w:id="37" w:name="_Hlk43449913"/>
      <w:r>
        <w:rPr>
          <w:rFonts w:hint="eastAsia" w:ascii="宋体" w:hAnsi="宋体" w:eastAsia="宋体" w:cs="宋体"/>
          <w:sz w:val="24"/>
          <w:szCs w:val="24"/>
          <w:lang w:val="en-US" w:eastAsia="zh-CN"/>
        </w:rPr>
        <w:t>现场调</w:t>
      </w:r>
      <w:r>
        <w:rPr>
          <w:rFonts w:hint="eastAsia" w:ascii="宋体" w:hAnsi="宋体" w:eastAsia="宋体" w:cs="宋体"/>
          <w:sz w:val="24"/>
          <w:szCs w:val="24"/>
        </w:rPr>
        <w:t>查覆盖</w:t>
      </w:r>
      <w:r>
        <w:rPr>
          <w:rFonts w:hint="eastAsia" w:ascii="宋体" w:hAnsi="宋体" w:cs="宋体"/>
          <w:sz w:val="24"/>
          <w:szCs w:val="24"/>
          <w:lang w:val="en-US" w:eastAsia="zh-CN"/>
        </w:rPr>
        <w:t>整个地块范围</w:t>
      </w:r>
      <w:r>
        <w:rPr>
          <w:rFonts w:hint="eastAsia" w:ascii="宋体" w:hAnsi="宋体" w:eastAsia="宋体" w:cs="宋体"/>
          <w:sz w:val="24"/>
          <w:szCs w:val="24"/>
          <w:lang w:val="en-US" w:eastAsia="zh-CN"/>
        </w:rPr>
        <w:t>，</w:t>
      </w:r>
      <w:r>
        <w:rPr>
          <w:rFonts w:hint="eastAsia" w:ascii="宋体" w:hAnsi="宋体" w:eastAsia="宋体" w:cs="宋体"/>
          <w:bCs/>
          <w:kern w:val="0"/>
          <w:sz w:val="24"/>
          <w:szCs w:val="24"/>
          <w:lang w:val="en-US" w:eastAsia="zh-CN" w:bidi="ar-SA"/>
        </w:rPr>
        <w:t>考古调查采取“拉网式”调查法，</w:t>
      </w:r>
      <w:r>
        <w:rPr>
          <w:rFonts w:hint="eastAsia" w:ascii="宋体" w:hAnsi="宋体" w:eastAsia="宋体" w:cs="宋体"/>
          <w:kern w:val="0"/>
          <w:sz w:val="24"/>
          <w:szCs w:val="24"/>
          <w:lang w:val="en-US" w:eastAsia="zh-CN" w:bidi="ar-SA"/>
        </w:rPr>
        <w:t>小组由</w:t>
      </w:r>
      <w:r>
        <w:rPr>
          <w:rFonts w:hint="eastAsia" w:ascii="宋体" w:hAnsi="宋体" w:cs="宋体"/>
          <w:kern w:val="0"/>
          <w:sz w:val="24"/>
          <w:szCs w:val="24"/>
          <w:lang w:val="en-US" w:eastAsia="zh-CN" w:bidi="ar-SA"/>
        </w:rPr>
        <w:t>张百祥、王慧琴、李恒、朱霖、秦东辉、陈军、杜宏洲、王平均</w:t>
      </w:r>
      <w:r>
        <w:rPr>
          <w:rFonts w:hint="eastAsia" w:ascii="宋体" w:hAnsi="宋体" w:cs="宋体"/>
          <w:sz w:val="24"/>
          <w:szCs w:val="24"/>
          <w:lang w:val="en-US" w:eastAsia="zh-CN"/>
        </w:rPr>
        <w:t>等人组成，对</w:t>
      </w:r>
      <w:r>
        <w:rPr>
          <w:rFonts w:hint="eastAsia" w:ascii="宋体" w:hAnsi="宋体" w:cs="宋体"/>
          <w:sz w:val="24"/>
          <w:szCs w:val="24"/>
          <w:lang w:val="zh-CN" w:eastAsia="zh-CN"/>
        </w:rPr>
        <w:t>所有可</w:t>
      </w:r>
      <w:r>
        <w:rPr>
          <w:rFonts w:hint="eastAsia" w:ascii="宋体" w:hAnsi="宋体" w:eastAsia="宋体" w:cs="宋体"/>
          <w:sz w:val="24"/>
          <w:szCs w:val="24"/>
          <w:lang w:val="zh-CN" w:eastAsia="zh-CN"/>
        </w:rPr>
        <w:t>能埋藏古代遗存的区域进行徒步踏查，采集地表文化遗物，并尽可能地利用断崖剖面观察文化堆积、掌握更为准确的信息。</w:t>
      </w:r>
    </w:p>
    <w:p>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经调查，增城区中新镇广汕公路北侧66.186亩地块位于广州市增城区中新镇乌石村内，西部、南部临坑贝水，南至广汕公路，东至乌石南一路。地块整体地势较低，地形平坦，覆盖有较厚现代回填土，多为其他地方的生土填垫而成，地表种植有红薯、玉米、青菜等农作物，局部分布有香蕉树、杂草等。</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调查在地块范围内未发现古代文化遗存和不可移动文物</w:t>
      </w:r>
      <w:r>
        <w:rPr>
          <w:rFonts w:hint="eastAsia" w:ascii="宋体" w:hAnsi="宋体" w:eastAsia="宋体" w:cs="宋体"/>
          <w:sz w:val="24"/>
          <w:szCs w:val="24"/>
          <w:lang w:val="en-US" w:eastAsia="zh-CN"/>
        </w:rPr>
        <w:t>。</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393055" cy="3595370"/>
            <wp:effectExtent l="0" t="0" r="17145" b="5080"/>
            <wp:docPr id="49" name="图片 49" descr="查看图纸（东南-西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查看图纸（东南-西北） (3)"/>
                    <pic:cNvPicPr>
                      <a:picLocks noChangeAspect="1"/>
                    </pic:cNvPicPr>
                  </pic:nvPicPr>
                  <pic:blipFill>
                    <a:blip r:embed="rId17"/>
                    <a:stretch>
                      <a:fillRect/>
                    </a:stretch>
                  </pic:blipFill>
                  <pic:spPr>
                    <a:xfrm>
                      <a:off x="0" y="0"/>
                      <a:ext cx="5393055" cy="3595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10</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工作人员现场查看地块红线范围（东南-西北）</w:t>
      </w:r>
    </w:p>
    <w:p>
      <w:pPr>
        <w:pStyle w:val="2"/>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679950" cy="3119755"/>
            <wp:effectExtent l="0" t="0" r="6350" b="4445"/>
            <wp:docPr id="50" name="图片 50" descr="现场踏查（西南-东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现场踏查（西南-东北） (2)"/>
                    <pic:cNvPicPr>
                      <a:picLocks noChangeAspect="1"/>
                    </pic:cNvPicPr>
                  </pic:nvPicPr>
                  <pic:blipFill>
                    <a:blip r:embed="rId18"/>
                    <a:stretch>
                      <a:fillRect/>
                    </a:stretch>
                  </pic:blipFill>
                  <pic:spPr>
                    <a:xfrm>
                      <a:off x="0" y="0"/>
                      <a:ext cx="4679950" cy="31197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工作人员现场踏查（西南-东北）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2"/>
        <w:rPr>
          <w:rFonts w:hint="eastAsia" w:ascii="黑体" w:hAnsi="黑体" w:eastAsia="黑体" w:cs="黑体"/>
          <w:kern w:val="0"/>
          <w:sz w:val="21"/>
          <w:szCs w:val="21"/>
          <w:lang w:val="en-US" w:eastAsia="zh-CN" w:bidi="ar"/>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2957830"/>
            <wp:effectExtent l="0" t="0" r="0" b="13970"/>
            <wp:docPr id="4" name="图片 4" descr="地块整体航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块整体航拍"/>
                    <pic:cNvPicPr>
                      <a:picLocks noChangeAspect="1"/>
                    </pic:cNvPicPr>
                  </pic:nvPicPr>
                  <pic:blipFill>
                    <a:blip r:embed="rId19"/>
                    <a:stretch>
                      <a:fillRect/>
                    </a:stretch>
                  </pic:blipFill>
                  <pic:spPr>
                    <a:xfrm>
                      <a:off x="0" y="0"/>
                      <a:ext cx="5257800" cy="29578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12</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地块整体现状（上为北）</w:t>
      </w:r>
    </w:p>
    <w:p>
      <w:pPr>
        <w:pStyle w:val="2"/>
        <w:rPr>
          <w:rFonts w:hint="eastAsia" w:ascii="黑体" w:hAnsi="黑体" w:eastAsia="黑体" w:cs="黑体"/>
          <w:kern w:val="0"/>
          <w:sz w:val="21"/>
          <w:szCs w:val="21"/>
          <w:lang w:val="en-US" w:eastAsia="zh-CN" w:bidi="ar"/>
        </w:rPr>
      </w:pPr>
    </w:p>
    <w:p>
      <w:pPr>
        <w:pStyle w:val="4"/>
        <w:rPr>
          <w:rFonts w:hint="eastAsia" w:ascii="黑体" w:hAnsi="黑体" w:eastAsia="黑体" w:cs="黑体"/>
          <w:kern w:val="0"/>
          <w:sz w:val="21"/>
          <w:szCs w:val="21"/>
          <w:lang w:val="en-US" w:eastAsia="zh-CN" w:bidi="ar"/>
        </w:rPr>
      </w:pPr>
    </w:p>
    <w:p>
      <w:pPr>
        <w:pStyle w:val="4"/>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7325" cy="3511550"/>
            <wp:effectExtent l="0" t="0" r="9525" b="12700"/>
            <wp:docPr id="5" name="图片 5" descr="地块北部（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地块北部（北--南） (2)"/>
                    <pic:cNvPicPr>
                      <a:picLocks noChangeAspect="1"/>
                    </pic:cNvPicPr>
                  </pic:nvPicPr>
                  <pic:blipFill>
                    <a:blip r:embed="rId20"/>
                    <a:stretch>
                      <a:fillRect/>
                    </a:stretch>
                  </pic:blipFill>
                  <pic:spPr>
                    <a:xfrm>
                      <a:off x="0" y="0"/>
                      <a:ext cx="5267325"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13</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地块北部现状（北-南）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7325" cy="3511550"/>
            <wp:effectExtent l="0" t="0" r="9525" b="12700"/>
            <wp:docPr id="6" name="图片 6" descr="地块北部（东--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地块北部（东--西） (1)"/>
                    <pic:cNvPicPr>
                      <a:picLocks noChangeAspect="1"/>
                    </pic:cNvPicPr>
                  </pic:nvPicPr>
                  <pic:blipFill>
                    <a:blip r:embed="rId21"/>
                    <a:stretch>
                      <a:fillRect/>
                    </a:stretch>
                  </pic:blipFill>
                  <pic:spPr>
                    <a:xfrm>
                      <a:off x="0" y="0"/>
                      <a:ext cx="5267325" cy="351155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14</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地块北部现状（东-西）</w:t>
      </w:r>
    </w:p>
    <w:p>
      <w:pPr>
        <w:pStyle w:val="2"/>
        <w:rPr>
          <w:rFonts w:hint="eastAsia" w:ascii="黑体" w:hAnsi="黑体" w:eastAsia="黑体" w:cs="黑体"/>
          <w:kern w:val="0"/>
          <w:sz w:val="21"/>
          <w:szCs w:val="21"/>
          <w:lang w:val="en-US" w:eastAsia="zh-CN" w:bidi="ar"/>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7325" cy="3511550"/>
            <wp:effectExtent l="0" t="0" r="9525" b="12700"/>
            <wp:docPr id="7" name="图片 7" descr="地块北部（南--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地块北部（南--北） (3)"/>
                    <pic:cNvPicPr>
                      <a:picLocks noChangeAspect="1"/>
                    </pic:cNvPicPr>
                  </pic:nvPicPr>
                  <pic:blipFill>
                    <a:blip r:embed="rId22"/>
                    <a:stretch>
                      <a:fillRect/>
                    </a:stretch>
                  </pic:blipFill>
                  <pic:spPr>
                    <a:xfrm>
                      <a:off x="0" y="0"/>
                      <a:ext cx="5267325" cy="351155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15</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地块北部现状（南-北）</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73040" cy="3506470"/>
            <wp:effectExtent l="0" t="0" r="3810" b="17780"/>
            <wp:docPr id="8" name="图片 8" descr="地块东北部（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块东北部（北--南） (2)"/>
                    <pic:cNvPicPr>
                      <a:picLocks noChangeAspect="1"/>
                    </pic:cNvPicPr>
                  </pic:nvPicPr>
                  <pic:blipFill>
                    <a:blip r:embed="rId23"/>
                    <a:stretch>
                      <a:fillRect/>
                    </a:stretch>
                  </pic:blipFill>
                  <pic:spPr>
                    <a:xfrm>
                      <a:off x="0" y="0"/>
                      <a:ext cx="5273040" cy="35064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16</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地块东北部现状（北-南）</w:t>
      </w:r>
    </w:p>
    <w:p>
      <w:pPr>
        <w:pStyle w:val="2"/>
        <w:rPr>
          <w:rFonts w:hint="eastAsia" w:ascii="黑体" w:hAnsi="黑体" w:eastAsia="黑体" w:cs="黑体"/>
          <w:kern w:val="0"/>
          <w:sz w:val="21"/>
          <w:szCs w:val="21"/>
          <w:lang w:val="en-US" w:eastAsia="zh-CN" w:bidi="ar"/>
        </w:rPr>
      </w:pPr>
    </w:p>
    <w:p>
      <w:pPr>
        <w:pStyle w:val="4"/>
        <w:rPr>
          <w:rFonts w:hint="eastAsia" w:ascii="黑体" w:hAnsi="黑体" w:eastAsia="黑体" w:cs="黑体"/>
          <w:kern w:val="0"/>
          <w:sz w:val="21"/>
          <w:szCs w:val="21"/>
          <w:lang w:val="en-US" w:eastAsia="zh-CN" w:bidi="ar"/>
        </w:rPr>
      </w:pPr>
    </w:p>
    <w:p>
      <w:pPr>
        <w:pStyle w:val="4"/>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73040" cy="3506470"/>
            <wp:effectExtent l="0" t="0" r="3810" b="17780"/>
            <wp:docPr id="9" name="图片 9" descr="地块东北部（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地块东北部（东--西） (2)"/>
                    <pic:cNvPicPr>
                      <a:picLocks noChangeAspect="1"/>
                    </pic:cNvPicPr>
                  </pic:nvPicPr>
                  <pic:blipFill>
                    <a:blip r:embed="rId24"/>
                    <a:stretch>
                      <a:fillRect/>
                    </a:stretch>
                  </pic:blipFill>
                  <pic:spPr>
                    <a:xfrm>
                      <a:off x="0" y="0"/>
                      <a:ext cx="5273040" cy="350647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17</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地块东北部现状（东-西）</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2"/>
        <w:rPr>
          <w:rFonts w:hint="eastAsia"/>
          <w:lang w:val="en-US" w:eastAsia="zh-CN"/>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73040" cy="3506470"/>
            <wp:effectExtent l="0" t="0" r="3810" b="17780"/>
            <wp:docPr id="10" name="图片 10" descr="地块东北部（南--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地块东北部（南--北） (1)"/>
                    <pic:cNvPicPr>
                      <a:picLocks noChangeAspect="1"/>
                    </pic:cNvPicPr>
                  </pic:nvPicPr>
                  <pic:blipFill>
                    <a:blip r:embed="rId25"/>
                    <a:stretch>
                      <a:fillRect/>
                    </a:stretch>
                  </pic:blipFill>
                  <pic:spPr>
                    <a:xfrm>
                      <a:off x="0" y="0"/>
                      <a:ext cx="5273040" cy="35064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18</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地块东北部现状（南-北）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2"/>
        <w:rPr>
          <w:rFonts w:hint="eastAsia" w:ascii="黑体" w:hAnsi="黑体" w:eastAsia="黑体" w:cs="黑体"/>
          <w:kern w:val="0"/>
          <w:sz w:val="21"/>
          <w:szCs w:val="21"/>
          <w:lang w:val="en-US" w:eastAsia="zh-CN" w:bidi="ar"/>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73040" cy="3506470"/>
            <wp:effectExtent l="0" t="0" r="3810" b="17780"/>
            <wp:docPr id="11" name="图片 11" descr="地块东部（北--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地块东部（北--南） (1)"/>
                    <pic:cNvPicPr>
                      <a:picLocks noChangeAspect="1"/>
                    </pic:cNvPicPr>
                  </pic:nvPicPr>
                  <pic:blipFill>
                    <a:blip r:embed="rId26"/>
                    <a:stretch>
                      <a:fillRect/>
                    </a:stretch>
                  </pic:blipFill>
                  <pic:spPr>
                    <a:xfrm>
                      <a:off x="0" y="0"/>
                      <a:ext cx="5273040" cy="350647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19</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地块东部现状（北-南）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2"/>
        <w:rPr>
          <w:rFonts w:hint="eastAsia"/>
          <w:lang w:val="en-US" w:eastAsia="zh-CN"/>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73040" cy="3506470"/>
            <wp:effectExtent l="0" t="0" r="3810" b="17780"/>
            <wp:docPr id="18" name="图片 18" descr="地块东南部（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地块东南部（北--南） (2)"/>
                    <pic:cNvPicPr>
                      <a:picLocks noChangeAspect="1"/>
                    </pic:cNvPicPr>
                  </pic:nvPicPr>
                  <pic:blipFill>
                    <a:blip r:embed="rId27"/>
                    <a:stretch>
                      <a:fillRect/>
                    </a:stretch>
                  </pic:blipFill>
                  <pic:spPr>
                    <a:xfrm>
                      <a:off x="0" y="0"/>
                      <a:ext cx="5273040" cy="35064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20</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地块东南部现状（北-南）</w:t>
      </w:r>
    </w:p>
    <w:p>
      <w:pPr>
        <w:pStyle w:val="2"/>
        <w:rPr>
          <w:rFonts w:hint="eastAsia" w:ascii="黑体" w:hAnsi="黑体" w:eastAsia="黑体" w:cs="黑体"/>
          <w:kern w:val="0"/>
          <w:sz w:val="21"/>
          <w:szCs w:val="21"/>
          <w:lang w:val="en-US" w:eastAsia="zh-CN" w:bidi="ar"/>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73040" cy="3506470"/>
            <wp:effectExtent l="0" t="0" r="3810" b="17780"/>
            <wp:docPr id="23" name="图片 23" descr="地块东南部（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地块东南部（东--西） (2)"/>
                    <pic:cNvPicPr>
                      <a:picLocks noChangeAspect="1"/>
                    </pic:cNvPicPr>
                  </pic:nvPicPr>
                  <pic:blipFill>
                    <a:blip r:embed="rId28"/>
                    <a:stretch>
                      <a:fillRect/>
                    </a:stretch>
                  </pic:blipFill>
                  <pic:spPr>
                    <a:xfrm>
                      <a:off x="0" y="0"/>
                      <a:ext cx="5273040" cy="35064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地块东南部现状（东-西）</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7325" cy="3511550"/>
            <wp:effectExtent l="0" t="0" r="9525" b="12700"/>
            <wp:docPr id="24" name="图片 24" descr="地块南部（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地块南部（北--南） (2)"/>
                    <pic:cNvPicPr>
                      <a:picLocks noChangeAspect="1"/>
                    </pic:cNvPicPr>
                  </pic:nvPicPr>
                  <pic:blipFill>
                    <a:blip r:embed="rId29"/>
                    <a:stretch>
                      <a:fillRect/>
                    </a:stretch>
                  </pic:blipFill>
                  <pic:spPr>
                    <a:xfrm>
                      <a:off x="0" y="0"/>
                      <a:ext cx="5267325"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22</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地块南部现状（北-南）</w:t>
      </w:r>
    </w:p>
    <w:p>
      <w:pPr>
        <w:pStyle w:val="2"/>
        <w:rPr>
          <w:rFonts w:hint="eastAsia" w:ascii="黑体" w:hAnsi="黑体" w:eastAsia="黑体" w:cs="黑体"/>
          <w:kern w:val="0"/>
          <w:sz w:val="21"/>
          <w:szCs w:val="21"/>
          <w:lang w:val="en-US" w:eastAsia="zh-CN" w:bidi="ar"/>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7325" cy="3511550"/>
            <wp:effectExtent l="0" t="0" r="9525" b="12700"/>
            <wp:docPr id="25" name="图片 25" descr="地块西北部（南--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地块西北部（南--北） (1)"/>
                    <pic:cNvPicPr>
                      <a:picLocks noChangeAspect="1"/>
                    </pic:cNvPicPr>
                  </pic:nvPicPr>
                  <pic:blipFill>
                    <a:blip r:embed="rId30"/>
                    <a:stretch>
                      <a:fillRect/>
                    </a:stretch>
                  </pic:blipFill>
                  <pic:spPr>
                    <a:xfrm>
                      <a:off x="0" y="0"/>
                      <a:ext cx="5267325" cy="351155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23</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地块西北部现状（南-北）</w:t>
      </w:r>
    </w:p>
    <w:p>
      <w:pPr>
        <w:pStyle w:val="2"/>
        <w:rPr>
          <w:rFonts w:hint="eastAsia" w:ascii="黑体" w:hAnsi="黑体" w:eastAsia="黑体" w:cs="黑体"/>
          <w:kern w:val="0"/>
          <w:sz w:val="21"/>
          <w:szCs w:val="21"/>
          <w:lang w:val="en-US" w:eastAsia="zh-CN" w:bidi="ar"/>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7325" cy="3511550"/>
            <wp:effectExtent l="0" t="0" r="9525" b="12700"/>
            <wp:docPr id="27" name="图片 27" descr="地块西部（东--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地块西部（东--西） (1)"/>
                    <pic:cNvPicPr>
                      <a:picLocks noChangeAspect="1"/>
                    </pic:cNvPicPr>
                  </pic:nvPicPr>
                  <pic:blipFill>
                    <a:blip r:embed="rId31"/>
                    <a:stretch>
                      <a:fillRect/>
                    </a:stretch>
                  </pic:blipFill>
                  <pic:spPr>
                    <a:xfrm>
                      <a:off x="0" y="0"/>
                      <a:ext cx="5267325"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24</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地块西部现状（东-西）</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br w:type="page"/>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7325" cy="3511550"/>
            <wp:effectExtent l="0" t="0" r="9525" b="12700"/>
            <wp:docPr id="28" name="图片 28" descr="地块西部（南--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地块西部（南--北） (1)"/>
                    <pic:cNvPicPr>
                      <a:picLocks noChangeAspect="1"/>
                    </pic:cNvPicPr>
                  </pic:nvPicPr>
                  <pic:blipFill>
                    <a:blip r:embed="rId32"/>
                    <a:stretch>
                      <a:fillRect/>
                    </a:stretch>
                  </pic:blipFill>
                  <pic:spPr>
                    <a:xfrm>
                      <a:off x="0" y="0"/>
                      <a:ext cx="5267325" cy="351155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25</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地块西部现状（南-北）</w:t>
      </w:r>
    </w:p>
    <w:bookmarkEnd w:id="37"/>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bookmarkStart w:id="38" w:name="_Toc634"/>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rPr>
          <w:rFonts w:hint="eastAsia"/>
          <w:lang w:val="en-US" w:eastAsia="zh-CN"/>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30" name="图片 30" descr="地块西南部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地块西南部现状（西南-东北）"/>
                    <pic:cNvPicPr>
                      <a:picLocks noChangeAspect="1"/>
                    </pic:cNvPicPr>
                  </pic:nvPicPr>
                  <pic:blipFill>
                    <a:blip r:embed="rId33"/>
                    <a:stretch>
                      <a:fillRect/>
                    </a:stretch>
                  </pic:blipFill>
                  <pic:spPr>
                    <a:xfrm>
                      <a:off x="0" y="0"/>
                      <a:ext cx="5257800" cy="350520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27</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地块西南部现状（西南-东北）</w:t>
      </w:r>
    </w:p>
    <w:p>
      <w:pPr>
        <w:rPr>
          <w:rFonts w:hint="eastAsia" w:ascii="Cambria" w:hAnsi="Cambria" w:eastAsia="宋体" w:cs="Times New Roman"/>
          <w:bCs/>
          <w:kern w:val="28"/>
          <w:sz w:val="28"/>
          <w:szCs w:val="32"/>
          <w:lang w:val="en-US" w:eastAsia="zh-CN" w:bidi="ar-SA"/>
        </w:rPr>
      </w:pPr>
      <w:bookmarkStart w:id="39" w:name="_Toc19087"/>
      <w:bookmarkStart w:id="40" w:name="_Toc11061"/>
      <w:bookmarkStart w:id="41" w:name="_Toc18847"/>
      <w:bookmarkStart w:id="42" w:name="_Toc347"/>
      <w:bookmarkStart w:id="43" w:name="_Toc3957"/>
      <w:r>
        <w:rPr>
          <w:rFonts w:hint="eastAsia" w:ascii="Cambria" w:hAnsi="Cambria" w:eastAsia="宋体" w:cs="Times New Roman"/>
          <w:bCs/>
          <w:kern w:val="28"/>
          <w:sz w:val="28"/>
          <w:szCs w:val="32"/>
          <w:lang w:val="en-US" w:eastAsia="zh-CN" w:bidi="ar-SA"/>
        </w:rPr>
        <w:br w:type="page"/>
      </w:r>
    </w:p>
    <w:p>
      <w:pPr>
        <w:keepNext/>
        <w:keepLines/>
        <w:widowControl w:val="0"/>
        <w:spacing w:before="0" w:beforeLines="0" w:beforeAutospacing="0" w:after="0" w:afterLines="0" w:afterAutospacing="0" w:line="360" w:lineRule="auto"/>
        <w:ind w:firstLine="560" w:firstLineChars="200"/>
        <w:jc w:val="both"/>
        <w:outlineLvl w:val="1"/>
        <w:rPr>
          <w:rFonts w:hint="eastAsia" w:ascii="Cambria" w:hAnsi="Cambria" w:eastAsia="宋体" w:cs="Times New Roman"/>
          <w:bCs/>
          <w:kern w:val="28"/>
          <w:sz w:val="28"/>
          <w:szCs w:val="32"/>
          <w:lang w:val="en-US" w:eastAsia="zh-CN" w:bidi="ar-SA"/>
        </w:rPr>
      </w:pPr>
      <w:r>
        <w:rPr>
          <w:rFonts w:hint="eastAsia" w:ascii="Cambria" w:hAnsi="Cambria" w:eastAsia="宋体" w:cs="Times New Roman"/>
          <w:bCs/>
          <w:kern w:val="28"/>
          <w:sz w:val="28"/>
          <w:szCs w:val="32"/>
          <w:lang w:val="en-US" w:eastAsia="zh-CN" w:bidi="ar-SA"/>
        </w:rPr>
        <w:t>（四）考古试探</w:t>
      </w:r>
      <w:bookmarkEnd w:id="39"/>
      <w:bookmarkEnd w:id="40"/>
      <w:bookmarkEnd w:id="41"/>
      <w:bookmarkEnd w:id="42"/>
      <w:bookmarkEnd w:id="43"/>
    </w:p>
    <w:p>
      <w:pPr>
        <w:keepNext w:val="0"/>
        <w:keepLines w:val="0"/>
        <w:widowControl/>
        <w:suppressLineNumbers w:val="0"/>
        <w:spacing w:before="0" w:beforeAutospacing="0" w:after="0" w:afterAutospacing="0" w:line="360" w:lineRule="auto"/>
        <w:ind w:left="0" w:right="0" w:firstLine="480" w:firstLineChars="200"/>
        <w:jc w:val="left"/>
        <w:rPr>
          <w:rFonts w:hint="eastAsia"/>
          <w:color w:val="auto"/>
          <w:lang w:val="en-US" w:eastAsia="zh-CN"/>
        </w:rPr>
      </w:pPr>
      <w:r>
        <w:rPr>
          <w:rFonts w:hint="eastAsia" w:ascii="宋体" w:hAnsi="宋体" w:cs="宋体"/>
          <w:color w:val="auto"/>
          <w:kern w:val="0"/>
          <w:sz w:val="24"/>
          <w:szCs w:val="24"/>
          <w:lang w:val="en-US" w:eastAsia="zh-CN" w:bidi="ar"/>
        </w:rPr>
        <w:t>为了进一步掌握地块内的地层情况，</w:t>
      </w:r>
      <w:r>
        <w:rPr>
          <w:rFonts w:hint="eastAsia" w:ascii="宋体" w:hAnsi="宋体" w:eastAsia="宋体" w:cs="宋体"/>
          <w:color w:val="auto"/>
          <w:kern w:val="0"/>
          <w:sz w:val="24"/>
          <w:szCs w:val="24"/>
          <w:lang w:val="en-US" w:eastAsia="zh-CN" w:bidi="ar"/>
        </w:rPr>
        <w:t>根据实际条件，我们在地块</w:t>
      </w:r>
      <w:r>
        <w:rPr>
          <w:rFonts w:hint="eastAsia" w:ascii="宋体" w:hAnsi="宋体" w:cs="宋体"/>
          <w:color w:val="auto"/>
          <w:kern w:val="0"/>
          <w:sz w:val="24"/>
          <w:szCs w:val="24"/>
          <w:lang w:val="en-US" w:eastAsia="zh-CN" w:bidi="ar"/>
        </w:rPr>
        <w:t>内部进行了</w:t>
      </w:r>
      <w:r>
        <w:rPr>
          <w:rFonts w:hint="eastAsia" w:ascii="宋体" w:hAnsi="宋体" w:eastAsia="宋体" w:cs="宋体"/>
          <w:color w:val="auto"/>
          <w:kern w:val="0"/>
          <w:sz w:val="24"/>
          <w:szCs w:val="24"/>
          <w:lang w:val="en-US" w:eastAsia="zh-CN" w:bidi="ar"/>
        </w:rPr>
        <w:t>探孔</w:t>
      </w:r>
      <w:r>
        <w:rPr>
          <w:rFonts w:hint="eastAsia" w:ascii="宋体" w:hAnsi="宋体" w:cs="宋体"/>
          <w:color w:val="auto"/>
          <w:kern w:val="0"/>
          <w:sz w:val="24"/>
          <w:szCs w:val="24"/>
          <w:lang w:val="en-US" w:eastAsia="zh-CN" w:bidi="ar"/>
        </w:rPr>
        <w:t>试探</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编号为TK1-TK10，</w:t>
      </w:r>
      <w:r>
        <w:rPr>
          <w:rFonts w:hint="eastAsia" w:ascii="宋体" w:hAnsi="宋体" w:eastAsia="宋体" w:cs="宋体"/>
          <w:color w:val="auto"/>
          <w:kern w:val="0"/>
          <w:sz w:val="24"/>
          <w:szCs w:val="24"/>
          <w:lang w:val="en-US" w:eastAsia="zh-CN" w:bidi="ar"/>
        </w:rPr>
        <w:t xml:space="preserve">其具体情况如下： </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039995" cy="3819525"/>
            <wp:effectExtent l="0" t="0" r="8255" b="9525"/>
            <wp:docPr id="15" name="图片 15" descr="试探探孔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试探探孔分布示意图"/>
                    <pic:cNvPicPr>
                      <a:picLocks noChangeAspect="1"/>
                    </pic:cNvPicPr>
                  </pic:nvPicPr>
                  <pic:blipFill>
                    <a:blip r:embed="rId34"/>
                    <a:stretch>
                      <a:fillRect/>
                    </a:stretch>
                  </pic:blipFill>
                  <pic:spPr>
                    <a:xfrm>
                      <a:off x="0" y="0"/>
                      <a:ext cx="5039995" cy="38195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28</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地块内试探探孔位置示意图（黄色标记点）</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039995" cy="3359785"/>
            <wp:effectExtent l="0" t="0" r="8255" b="12065"/>
            <wp:docPr id="32" name="图片 32" descr="东--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东--西 (1)"/>
                    <pic:cNvPicPr>
                      <a:picLocks noChangeAspect="1"/>
                    </pic:cNvPicPr>
                  </pic:nvPicPr>
                  <pic:blipFill>
                    <a:blip r:embed="rId35"/>
                    <a:stretch>
                      <a:fillRect/>
                    </a:stretch>
                  </pic:blipFill>
                  <pic:spPr>
                    <a:xfrm>
                      <a:off x="0" y="0"/>
                      <a:ext cx="5039995" cy="335978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29</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现场试探（东-西）</w:t>
      </w:r>
    </w:p>
    <w:p>
      <w:pPr>
        <w:jc w:val="center"/>
        <w:rPr>
          <w:rFonts w:hint="eastAsia" w:ascii="宋体" w:hAnsi="宋体"/>
          <w:b/>
          <w:bCs/>
          <w:sz w:val="21"/>
          <w:szCs w:val="21"/>
        </w:rPr>
      </w:pPr>
      <w:r>
        <w:rPr>
          <w:rFonts w:hint="eastAsia" w:ascii="宋体" w:hAnsi="宋体"/>
          <w:b/>
          <w:bCs/>
          <w:sz w:val="21"/>
          <w:szCs w:val="21"/>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TK1：</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该地块西北</w:t>
      </w:r>
      <w:r>
        <w:rPr>
          <w:rFonts w:hint="eastAsia" w:ascii="宋体" w:hAnsi="宋体" w:eastAsia="宋体" w:cs="宋体"/>
          <w:color w:val="auto"/>
          <w:sz w:val="24"/>
          <w:szCs w:val="24"/>
          <w:lang w:val="en-US" w:eastAsia="zh-CN"/>
        </w:rPr>
        <w:t>部，探孔中心坐标为：N23°17′30.50″</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113°37′49.38″。地层堆积情况如下：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①层：垫土层，距地表0-4.0米，厚约4.0米，为灰褐色、红褐色黏土，土质疏松，包含植物根茎、风化石渣等</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探至4.0米处</w:t>
      </w:r>
      <w:r>
        <w:rPr>
          <w:rFonts w:hint="eastAsia" w:ascii="宋体" w:hAnsi="宋体" w:cs="宋体"/>
          <w:color w:val="auto"/>
          <w:sz w:val="24"/>
          <w:szCs w:val="24"/>
          <w:lang w:val="en-US" w:eastAsia="zh-CN"/>
        </w:rPr>
        <w:t>仍无变化，且出水严重土样无法带出。</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3684905" cy="2764155"/>
            <wp:effectExtent l="0" t="0" r="10795" b="17145"/>
            <wp:docPr id="1" name="图片 1" descr="T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K1"/>
                    <pic:cNvPicPr>
                      <a:picLocks noChangeAspect="1"/>
                    </pic:cNvPicPr>
                  </pic:nvPicPr>
                  <pic:blipFill>
                    <a:blip r:embed="rId36"/>
                    <a:stretch>
                      <a:fillRect/>
                    </a:stretch>
                  </pic:blipFill>
                  <pic:spPr>
                    <a:xfrm>
                      <a:off x="0" y="0"/>
                      <a:ext cx="3684905" cy="276415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30</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TK1土样（标杆长1米，土样由左上到右下）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该地块北</w:t>
      </w:r>
      <w:r>
        <w:rPr>
          <w:rFonts w:hint="eastAsia" w:ascii="宋体" w:hAnsi="宋体" w:eastAsia="宋体" w:cs="宋体"/>
          <w:color w:val="auto"/>
          <w:sz w:val="24"/>
          <w:szCs w:val="24"/>
          <w:lang w:val="en-US" w:eastAsia="zh-CN"/>
        </w:rPr>
        <w:t>部，探孔中心坐标为：N23°17′29.52″</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113°37′51.20″。地层堆积情况如下：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①层：垫土层，距地表0-4.0米，厚约4.0米，</w:t>
      </w:r>
      <w:r>
        <w:rPr>
          <w:rFonts w:hint="eastAsia" w:ascii="宋体" w:hAnsi="宋体" w:cs="宋体"/>
          <w:color w:val="auto"/>
          <w:sz w:val="24"/>
          <w:szCs w:val="24"/>
          <w:lang w:val="en-US" w:eastAsia="zh-CN"/>
        </w:rPr>
        <w:t>为</w:t>
      </w:r>
      <w:r>
        <w:rPr>
          <w:rFonts w:hint="eastAsia" w:ascii="宋体" w:hAnsi="宋体" w:eastAsia="宋体" w:cs="宋体"/>
          <w:color w:val="auto"/>
          <w:sz w:val="24"/>
          <w:szCs w:val="24"/>
          <w:lang w:val="en-US" w:eastAsia="zh-CN"/>
        </w:rPr>
        <w:t>灰褐色、红褐色黏土，土质疏松，包含植物根茎、风化石渣等</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探至4.0米处</w:t>
      </w:r>
      <w:r>
        <w:rPr>
          <w:rFonts w:hint="eastAsia" w:ascii="宋体" w:hAnsi="宋体" w:cs="宋体"/>
          <w:color w:val="auto"/>
          <w:sz w:val="24"/>
          <w:szCs w:val="24"/>
          <w:lang w:val="en-US" w:eastAsia="zh-CN"/>
        </w:rPr>
        <w:t>仍无变化，且出水严重土样无法带出。</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2694940" cy="3594735"/>
            <wp:effectExtent l="0" t="0" r="5715" b="10160"/>
            <wp:docPr id="33" name="图片 33" descr="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TK2"/>
                    <pic:cNvPicPr>
                      <a:picLocks noChangeAspect="1"/>
                    </pic:cNvPicPr>
                  </pic:nvPicPr>
                  <pic:blipFill>
                    <a:blip r:embed="rId37"/>
                    <a:stretch>
                      <a:fillRect/>
                    </a:stretch>
                  </pic:blipFill>
                  <pic:spPr>
                    <a:xfrm rot="16200000">
                      <a:off x="0" y="0"/>
                      <a:ext cx="2694940" cy="359473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TK2土样（标杆长1米，土样由左上到右下）</w:t>
      </w:r>
    </w:p>
    <w:p>
      <w:pPr>
        <w:rPr>
          <w:rFonts w:hint="eastAsia" w:ascii="宋体" w:hAnsi="宋体"/>
          <w:b/>
          <w:bCs/>
          <w:sz w:val="24"/>
          <w:szCs w:val="24"/>
        </w:rPr>
      </w:pPr>
      <w:r>
        <w:rPr>
          <w:rFonts w:hint="eastAsia" w:ascii="宋体" w:hAnsi="宋体"/>
          <w:b/>
          <w:bCs/>
          <w:sz w:val="24"/>
          <w:szCs w:val="24"/>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该地块北</w:t>
      </w:r>
      <w:r>
        <w:rPr>
          <w:rFonts w:hint="eastAsia" w:ascii="宋体" w:hAnsi="宋体" w:eastAsia="宋体" w:cs="宋体"/>
          <w:color w:val="auto"/>
          <w:sz w:val="24"/>
          <w:szCs w:val="24"/>
          <w:lang w:val="en-US" w:eastAsia="zh-CN"/>
        </w:rPr>
        <w:t>部，探孔中心坐标为：N23°17′28.92″</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113°37′53.05″。地层堆积情况如下：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①层：垫土层，距地表0-4.0米，厚约4.0米，</w:t>
      </w:r>
      <w:r>
        <w:rPr>
          <w:rFonts w:hint="eastAsia" w:ascii="宋体" w:hAnsi="宋体" w:cs="宋体"/>
          <w:color w:val="auto"/>
          <w:sz w:val="24"/>
          <w:szCs w:val="24"/>
          <w:lang w:val="en-US" w:eastAsia="zh-CN"/>
        </w:rPr>
        <w:t>为</w:t>
      </w:r>
      <w:r>
        <w:rPr>
          <w:rFonts w:hint="eastAsia" w:ascii="宋体" w:hAnsi="宋体" w:eastAsia="宋体" w:cs="宋体"/>
          <w:color w:val="auto"/>
          <w:sz w:val="24"/>
          <w:szCs w:val="24"/>
          <w:lang w:val="en-US" w:eastAsia="zh-CN"/>
        </w:rPr>
        <w:t>灰褐色、红褐色黏土，土质疏松，包含植物根茎、风化石渣等</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探至4.0米处</w:t>
      </w:r>
      <w:r>
        <w:rPr>
          <w:rFonts w:hint="eastAsia" w:ascii="宋体" w:hAnsi="宋体" w:cs="宋体"/>
          <w:color w:val="auto"/>
          <w:sz w:val="24"/>
          <w:szCs w:val="24"/>
          <w:lang w:val="en-US" w:eastAsia="zh-CN"/>
        </w:rPr>
        <w:t>仍无变化</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，且出水严重土样无法带出。</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sz w:val="21"/>
          <w:szCs w:val="21"/>
          <w:lang w:eastAsia="zh-CN"/>
        </w:rPr>
        <w:drawing>
          <wp:inline distT="0" distB="0" distL="114300" distR="114300">
            <wp:extent cx="3721100" cy="2642235"/>
            <wp:effectExtent l="0" t="0" r="12700" b="5715"/>
            <wp:docPr id="39" name="图片 39" descr="T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TK3"/>
                    <pic:cNvPicPr>
                      <a:picLocks noChangeAspect="1"/>
                    </pic:cNvPicPr>
                  </pic:nvPicPr>
                  <pic:blipFill>
                    <a:blip r:embed="rId38"/>
                    <a:stretch>
                      <a:fillRect/>
                    </a:stretch>
                  </pic:blipFill>
                  <pic:spPr>
                    <a:xfrm>
                      <a:off x="0" y="0"/>
                      <a:ext cx="3721100" cy="264223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32</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TK3土样（标杆长1米，土样由左上到右下）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该地块东北</w:t>
      </w:r>
      <w:r>
        <w:rPr>
          <w:rFonts w:hint="eastAsia" w:ascii="宋体" w:hAnsi="宋体" w:eastAsia="宋体" w:cs="宋体"/>
          <w:color w:val="auto"/>
          <w:sz w:val="24"/>
          <w:szCs w:val="24"/>
          <w:lang w:val="en-US" w:eastAsia="zh-CN"/>
        </w:rPr>
        <w:t>部，探孔中心坐标为：N23°17′28.27″</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113°37′55.54″。地层堆积情况如下：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①层：垫土层，距地表0-4.0米，厚约4.0米，</w:t>
      </w:r>
      <w:r>
        <w:rPr>
          <w:rFonts w:hint="eastAsia" w:ascii="宋体" w:hAnsi="宋体" w:cs="宋体"/>
          <w:color w:val="auto"/>
          <w:sz w:val="24"/>
          <w:szCs w:val="24"/>
          <w:lang w:val="en-US" w:eastAsia="zh-CN"/>
        </w:rPr>
        <w:t>为</w:t>
      </w:r>
      <w:r>
        <w:rPr>
          <w:rFonts w:hint="eastAsia" w:ascii="宋体" w:hAnsi="宋体" w:eastAsia="宋体" w:cs="宋体"/>
          <w:color w:val="auto"/>
          <w:sz w:val="24"/>
          <w:szCs w:val="24"/>
          <w:lang w:val="en-US" w:eastAsia="zh-CN"/>
        </w:rPr>
        <w:t>红褐色黏土，土质疏松，包含植物根茎、风化石渣等</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探至4.0米处</w:t>
      </w:r>
      <w:r>
        <w:rPr>
          <w:rFonts w:hint="eastAsia" w:ascii="宋体" w:hAnsi="宋体" w:cs="宋体"/>
          <w:color w:val="auto"/>
          <w:sz w:val="24"/>
          <w:szCs w:val="24"/>
          <w:lang w:val="en-US" w:eastAsia="zh-CN"/>
        </w:rPr>
        <w:t>仍无变化</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，且出水严重土样无法带出。</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sz w:val="21"/>
          <w:szCs w:val="21"/>
          <w:lang w:eastAsia="zh-CN"/>
        </w:rPr>
        <w:drawing>
          <wp:inline distT="0" distB="0" distL="114300" distR="114300">
            <wp:extent cx="3769360" cy="2827020"/>
            <wp:effectExtent l="0" t="0" r="2540" b="11430"/>
            <wp:docPr id="40" name="图片 40" descr="T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TK4"/>
                    <pic:cNvPicPr>
                      <a:picLocks noChangeAspect="1"/>
                    </pic:cNvPicPr>
                  </pic:nvPicPr>
                  <pic:blipFill>
                    <a:blip r:embed="rId39"/>
                    <a:stretch>
                      <a:fillRect/>
                    </a:stretch>
                  </pic:blipFill>
                  <pic:spPr>
                    <a:xfrm>
                      <a:off x="0" y="0"/>
                      <a:ext cx="3769360" cy="2827020"/>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33</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TK4土样（标杆长1米，土样由左上到右下）</w:t>
      </w:r>
    </w:p>
    <w:p>
      <w:pPr>
        <w:rPr>
          <w:rFonts w:hint="eastAsia" w:ascii="宋体" w:hAnsi="宋体"/>
          <w:b/>
          <w:bCs/>
          <w:sz w:val="24"/>
          <w:szCs w:val="24"/>
        </w:rPr>
      </w:pPr>
      <w:r>
        <w:rPr>
          <w:rFonts w:hint="eastAsia" w:ascii="宋体" w:hAnsi="宋体"/>
          <w:b/>
          <w:bCs/>
          <w:sz w:val="24"/>
          <w:szCs w:val="24"/>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w:t>
      </w:r>
      <w:r>
        <w:rPr>
          <w:rFonts w:hint="eastAsia" w:ascii="宋体" w:hAnsi="宋体" w:eastAsia="宋体" w:cs="宋体"/>
          <w:color w:val="auto"/>
          <w:sz w:val="24"/>
          <w:szCs w:val="24"/>
          <w:lang w:val="en-US" w:eastAsia="zh-CN"/>
        </w:rPr>
        <w:t>部，探孔中心坐标为：N23°17′26.47″</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113°37′55.79″。地层堆积情况如下：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①层：垫土层，距地表0-4.0米，厚约4.0米，</w:t>
      </w:r>
      <w:r>
        <w:rPr>
          <w:rFonts w:hint="eastAsia" w:ascii="宋体" w:hAnsi="宋体" w:cs="宋体"/>
          <w:color w:val="auto"/>
          <w:sz w:val="24"/>
          <w:szCs w:val="24"/>
          <w:lang w:val="en-US" w:eastAsia="zh-CN"/>
        </w:rPr>
        <w:t>为</w:t>
      </w:r>
      <w:r>
        <w:rPr>
          <w:rFonts w:hint="eastAsia" w:ascii="宋体" w:hAnsi="宋体" w:eastAsia="宋体" w:cs="宋体"/>
          <w:color w:val="auto"/>
          <w:sz w:val="24"/>
          <w:szCs w:val="24"/>
          <w:lang w:val="en-US" w:eastAsia="zh-CN"/>
        </w:rPr>
        <w:t>红褐色黏土，土质疏松，包含植物根茎、风化石渣等</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探至4.0米处</w:t>
      </w:r>
      <w:r>
        <w:rPr>
          <w:rFonts w:hint="eastAsia" w:ascii="宋体" w:hAnsi="宋体" w:cs="宋体"/>
          <w:color w:val="auto"/>
          <w:sz w:val="24"/>
          <w:szCs w:val="24"/>
          <w:lang w:val="en-US" w:eastAsia="zh-CN"/>
        </w:rPr>
        <w:t>仍无变化</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，且出水严重土样无法带出。</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sz w:val="21"/>
          <w:szCs w:val="21"/>
          <w:lang w:eastAsia="zh-CN"/>
        </w:rPr>
        <w:drawing>
          <wp:inline distT="0" distB="0" distL="114300" distR="114300">
            <wp:extent cx="3838575" cy="2725420"/>
            <wp:effectExtent l="0" t="0" r="9525" b="17780"/>
            <wp:docPr id="41" name="图片 41" descr="T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TK5"/>
                    <pic:cNvPicPr>
                      <a:picLocks noChangeAspect="1"/>
                    </pic:cNvPicPr>
                  </pic:nvPicPr>
                  <pic:blipFill>
                    <a:blip r:embed="rId40"/>
                    <a:stretch>
                      <a:fillRect/>
                    </a:stretch>
                  </pic:blipFill>
                  <pic:spPr>
                    <a:xfrm>
                      <a:off x="0" y="0"/>
                      <a:ext cx="3838575" cy="2725420"/>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34</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TK5土样（标杆长1米，土样由左上到右下）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6</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该地块中北</w:t>
      </w:r>
      <w:r>
        <w:rPr>
          <w:rFonts w:hint="eastAsia" w:ascii="宋体" w:hAnsi="宋体" w:eastAsia="宋体" w:cs="宋体"/>
          <w:color w:val="auto"/>
          <w:sz w:val="24"/>
          <w:szCs w:val="24"/>
          <w:lang w:val="en-US" w:eastAsia="zh-CN"/>
        </w:rPr>
        <w:t>部，探孔中心坐标为：N23°17′27.36″</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113°37′53.38″。地层堆积情况如下：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①层：垫土层，距地表0-4.0米，厚约4.0米，</w:t>
      </w:r>
      <w:r>
        <w:rPr>
          <w:rFonts w:hint="eastAsia" w:ascii="宋体" w:hAnsi="宋体" w:cs="宋体"/>
          <w:color w:val="auto"/>
          <w:sz w:val="24"/>
          <w:szCs w:val="24"/>
          <w:lang w:val="en-US" w:eastAsia="zh-CN"/>
        </w:rPr>
        <w:t>为</w:t>
      </w:r>
      <w:r>
        <w:rPr>
          <w:rFonts w:hint="eastAsia" w:ascii="宋体" w:hAnsi="宋体" w:eastAsia="宋体" w:cs="宋体"/>
          <w:color w:val="auto"/>
          <w:sz w:val="24"/>
          <w:szCs w:val="24"/>
          <w:lang w:val="en-US" w:eastAsia="zh-CN"/>
        </w:rPr>
        <w:t>红褐色黏土，土质疏松，包含植物根茎、风化石渣等</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探至4.0米处</w:t>
      </w:r>
      <w:r>
        <w:rPr>
          <w:rFonts w:hint="eastAsia" w:ascii="宋体" w:hAnsi="宋体" w:cs="宋体"/>
          <w:color w:val="auto"/>
          <w:sz w:val="24"/>
          <w:szCs w:val="24"/>
          <w:lang w:val="en-US" w:eastAsia="zh-CN"/>
        </w:rPr>
        <w:t>仍无变化</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，且出水严重土样无法带出。</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3806190" cy="2701925"/>
            <wp:effectExtent l="0" t="0" r="3810" b="3175"/>
            <wp:docPr id="42" name="图片 42" descr="T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TK6"/>
                    <pic:cNvPicPr>
                      <a:picLocks noChangeAspect="1"/>
                    </pic:cNvPicPr>
                  </pic:nvPicPr>
                  <pic:blipFill>
                    <a:blip r:embed="rId41"/>
                    <a:stretch>
                      <a:fillRect/>
                    </a:stretch>
                  </pic:blipFill>
                  <pic:spPr>
                    <a:xfrm>
                      <a:off x="0" y="0"/>
                      <a:ext cx="3806190" cy="27019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35</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TK6土样（标杆长1米，土样由左上到右下）</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7</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该地块中北</w:t>
      </w:r>
      <w:r>
        <w:rPr>
          <w:rFonts w:hint="eastAsia" w:ascii="宋体" w:hAnsi="宋体" w:eastAsia="宋体" w:cs="宋体"/>
          <w:color w:val="auto"/>
          <w:sz w:val="24"/>
          <w:szCs w:val="24"/>
          <w:lang w:val="en-US" w:eastAsia="zh-CN"/>
        </w:rPr>
        <w:t>部，探孔中心坐标为：N23°17′28.16″</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113°37′51.43″。地层堆积情况如下：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①层：垫土层，距地表0-4.0米，厚约4.0米，</w:t>
      </w:r>
      <w:r>
        <w:rPr>
          <w:rFonts w:hint="eastAsia" w:ascii="宋体" w:hAnsi="宋体" w:cs="宋体"/>
          <w:color w:val="auto"/>
          <w:sz w:val="24"/>
          <w:szCs w:val="24"/>
          <w:lang w:val="en-US" w:eastAsia="zh-CN"/>
        </w:rPr>
        <w:t>为</w:t>
      </w:r>
      <w:r>
        <w:rPr>
          <w:rFonts w:hint="eastAsia" w:ascii="宋体" w:hAnsi="宋体" w:eastAsia="宋体" w:cs="宋体"/>
          <w:color w:val="auto"/>
          <w:sz w:val="24"/>
          <w:szCs w:val="24"/>
          <w:lang w:val="en-US" w:eastAsia="zh-CN"/>
        </w:rPr>
        <w:t>红褐色黏土，土质疏松，包含植物根茎、风化石渣等</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探至4.0米处</w:t>
      </w:r>
      <w:r>
        <w:rPr>
          <w:rFonts w:hint="eastAsia" w:ascii="宋体" w:hAnsi="宋体" w:cs="宋体"/>
          <w:color w:val="auto"/>
          <w:sz w:val="24"/>
          <w:szCs w:val="24"/>
          <w:lang w:val="en-US" w:eastAsia="zh-CN"/>
        </w:rPr>
        <w:t>仍无变化</w:t>
      </w:r>
      <w:r>
        <w:rPr>
          <w:rFonts w:hint="eastAsia" w:ascii="宋体" w:hAnsi="宋体" w:eastAsia="宋体" w:cs="宋体"/>
          <w:color w:val="auto"/>
          <w:sz w:val="24"/>
          <w:szCs w:val="24"/>
          <w:lang w:val="en-US" w:eastAsia="zh-CN"/>
        </w:rPr>
        <w:t>。</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3959860" cy="2811145"/>
            <wp:effectExtent l="0" t="0" r="2540" b="8255"/>
            <wp:docPr id="43" name="图片 43" descr="T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TK7"/>
                    <pic:cNvPicPr>
                      <a:picLocks noChangeAspect="1"/>
                    </pic:cNvPicPr>
                  </pic:nvPicPr>
                  <pic:blipFill>
                    <a:blip r:embed="rId42"/>
                    <a:stretch>
                      <a:fillRect/>
                    </a:stretch>
                  </pic:blipFill>
                  <pic:spPr>
                    <a:xfrm>
                      <a:off x="0" y="0"/>
                      <a:ext cx="3959860" cy="281114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36</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TK7土样（标杆长1米，土样由左上到右下）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8</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该地块西北</w:t>
      </w:r>
      <w:r>
        <w:rPr>
          <w:rFonts w:hint="eastAsia" w:ascii="宋体" w:hAnsi="宋体" w:eastAsia="宋体" w:cs="宋体"/>
          <w:color w:val="auto"/>
          <w:sz w:val="24"/>
          <w:szCs w:val="24"/>
          <w:lang w:val="en-US" w:eastAsia="zh-CN"/>
        </w:rPr>
        <w:t>部，探孔中心坐标为：N23°17′28.85″</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113°37′49.15″。地层堆积情况如下：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①层：垫土层，距地表0-4.0米，厚约4.0米，</w:t>
      </w:r>
      <w:r>
        <w:rPr>
          <w:rFonts w:hint="eastAsia" w:ascii="宋体" w:hAnsi="宋体" w:cs="宋体"/>
          <w:color w:val="auto"/>
          <w:sz w:val="24"/>
          <w:szCs w:val="24"/>
          <w:lang w:val="en-US" w:eastAsia="zh-CN"/>
        </w:rPr>
        <w:t>为</w:t>
      </w:r>
      <w:r>
        <w:rPr>
          <w:rFonts w:hint="eastAsia" w:ascii="宋体" w:hAnsi="宋体" w:eastAsia="宋体" w:cs="宋体"/>
          <w:color w:val="auto"/>
          <w:sz w:val="24"/>
          <w:szCs w:val="24"/>
          <w:lang w:val="en-US" w:eastAsia="zh-CN"/>
        </w:rPr>
        <w:t>红褐色黏土，土质疏松，包含植物根茎、风化石渣等</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探至4.0米处</w:t>
      </w:r>
      <w:r>
        <w:rPr>
          <w:rFonts w:hint="eastAsia" w:ascii="宋体" w:hAnsi="宋体" w:cs="宋体"/>
          <w:color w:val="auto"/>
          <w:sz w:val="24"/>
          <w:szCs w:val="24"/>
          <w:lang w:val="en-US" w:eastAsia="zh-CN"/>
        </w:rPr>
        <w:t>仍无变化</w:t>
      </w:r>
      <w:r>
        <w:rPr>
          <w:rFonts w:hint="eastAsia" w:ascii="宋体" w:hAnsi="宋体" w:eastAsia="宋体" w:cs="宋体"/>
          <w:color w:val="auto"/>
          <w:sz w:val="24"/>
          <w:szCs w:val="24"/>
          <w:lang w:val="en-US" w:eastAsia="zh-CN"/>
        </w:rPr>
        <w:t>。</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3959860" cy="2969895"/>
            <wp:effectExtent l="0" t="0" r="2540" b="1905"/>
            <wp:docPr id="44" name="图片 44" descr="T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TK8"/>
                    <pic:cNvPicPr>
                      <a:picLocks noChangeAspect="1"/>
                    </pic:cNvPicPr>
                  </pic:nvPicPr>
                  <pic:blipFill>
                    <a:blip r:embed="rId43"/>
                    <a:stretch>
                      <a:fillRect/>
                    </a:stretch>
                  </pic:blipFill>
                  <pic:spPr>
                    <a:xfrm>
                      <a:off x="0" y="0"/>
                      <a:ext cx="3959860" cy="296989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37</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TK8土样（标杆长1米，土样由左上到右下）</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9</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该地块中</w:t>
      </w:r>
      <w:r>
        <w:rPr>
          <w:rFonts w:hint="eastAsia" w:ascii="宋体" w:hAnsi="宋体" w:eastAsia="宋体" w:cs="宋体"/>
          <w:color w:val="auto"/>
          <w:sz w:val="24"/>
          <w:szCs w:val="24"/>
          <w:lang w:val="en-US" w:eastAsia="zh-CN"/>
        </w:rPr>
        <w:t>部，探孔中心坐标为：N23°17′26.52″</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113°37′52.06″。地层堆积情况如下：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①层：垫土层，距地表0-4.0米，厚约4.0米，</w:t>
      </w:r>
      <w:r>
        <w:rPr>
          <w:rFonts w:hint="eastAsia" w:ascii="宋体" w:hAnsi="宋体" w:cs="宋体"/>
          <w:color w:val="auto"/>
          <w:sz w:val="24"/>
          <w:szCs w:val="24"/>
          <w:lang w:val="en-US" w:eastAsia="zh-CN"/>
        </w:rPr>
        <w:t>为灰褐色、</w:t>
      </w:r>
      <w:r>
        <w:rPr>
          <w:rFonts w:hint="eastAsia" w:ascii="宋体" w:hAnsi="宋体" w:eastAsia="宋体" w:cs="宋体"/>
          <w:color w:val="auto"/>
          <w:sz w:val="24"/>
          <w:szCs w:val="24"/>
          <w:lang w:val="en-US" w:eastAsia="zh-CN"/>
        </w:rPr>
        <w:t>红褐色黏土，土质疏松，包含植物根茎、风化石渣等</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探至4.0米处</w:t>
      </w:r>
      <w:r>
        <w:rPr>
          <w:rFonts w:hint="eastAsia" w:ascii="宋体" w:hAnsi="宋体" w:cs="宋体"/>
          <w:color w:val="auto"/>
          <w:sz w:val="24"/>
          <w:szCs w:val="24"/>
          <w:lang w:val="en-US" w:eastAsia="zh-CN"/>
        </w:rPr>
        <w:t>仍无变化</w:t>
      </w:r>
      <w:r>
        <w:rPr>
          <w:rFonts w:hint="eastAsia" w:ascii="宋体" w:hAnsi="宋体" w:eastAsia="宋体" w:cs="宋体"/>
          <w:color w:val="auto"/>
          <w:sz w:val="24"/>
          <w:szCs w:val="24"/>
          <w:lang w:val="en-US" w:eastAsia="zh-CN"/>
        </w:rPr>
        <w:t>。</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3959860" cy="2969895"/>
            <wp:effectExtent l="0" t="0" r="2540" b="1905"/>
            <wp:docPr id="45" name="图片 45" descr="T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TK9"/>
                    <pic:cNvPicPr>
                      <a:picLocks noChangeAspect="1"/>
                    </pic:cNvPicPr>
                  </pic:nvPicPr>
                  <pic:blipFill>
                    <a:blip r:embed="rId44"/>
                    <a:stretch>
                      <a:fillRect/>
                    </a:stretch>
                  </pic:blipFill>
                  <pic:spPr>
                    <a:xfrm>
                      <a:off x="0" y="0"/>
                      <a:ext cx="3959860" cy="296989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38</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TK9土样（标杆长1米，土样由左上到右下）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10</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该地块东南</w:t>
      </w:r>
      <w:r>
        <w:rPr>
          <w:rFonts w:hint="eastAsia" w:ascii="宋体" w:hAnsi="宋体" w:eastAsia="宋体" w:cs="宋体"/>
          <w:color w:val="auto"/>
          <w:sz w:val="24"/>
          <w:szCs w:val="24"/>
          <w:lang w:val="en-US" w:eastAsia="zh-CN"/>
        </w:rPr>
        <w:t>部，探孔中心坐标为：N23°17′24.64″</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113°37′54.94″。地层堆积情况如下：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①层：垫土层，距地表0-4.0米，厚约4.0米，</w:t>
      </w:r>
      <w:r>
        <w:rPr>
          <w:rFonts w:hint="eastAsia" w:ascii="宋体" w:hAnsi="宋体" w:cs="宋体"/>
          <w:color w:val="auto"/>
          <w:sz w:val="24"/>
          <w:szCs w:val="24"/>
          <w:lang w:val="en-US" w:eastAsia="zh-CN"/>
        </w:rPr>
        <w:t>为</w:t>
      </w:r>
      <w:r>
        <w:rPr>
          <w:rFonts w:hint="eastAsia" w:ascii="宋体" w:hAnsi="宋体" w:eastAsia="宋体" w:cs="宋体"/>
          <w:color w:val="auto"/>
          <w:sz w:val="24"/>
          <w:szCs w:val="24"/>
          <w:lang w:val="en-US" w:eastAsia="zh-CN"/>
        </w:rPr>
        <w:t>红褐色黏土，土质疏松，包含植物根茎、风化石渣等</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探至4.0米处</w:t>
      </w:r>
      <w:r>
        <w:rPr>
          <w:rFonts w:hint="eastAsia" w:ascii="宋体" w:hAnsi="宋体" w:cs="宋体"/>
          <w:color w:val="auto"/>
          <w:sz w:val="24"/>
          <w:szCs w:val="24"/>
          <w:lang w:val="en-US" w:eastAsia="zh-CN"/>
        </w:rPr>
        <w:t>仍无变化</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，且出水严重土样无法带出。</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3959860" cy="2811145"/>
            <wp:effectExtent l="0" t="0" r="2540" b="8255"/>
            <wp:docPr id="46" name="图片 46" descr="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TK10"/>
                    <pic:cNvPicPr>
                      <a:picLocks noChangeAspect="1"/>
                    </pic:cNvPicPr>
                  </pic:nvPicPr>
                  <pic:blipFill>
                    <a:blip r:embed="rId45"/>
                    <a:stretch>
                      <a:fillRect/>
                    </a:stretch>
                  </pic:blipFill>
                  <pic:spPr>
                    <a:xfrm>
                      <a:off x="0" y="0"/>
                      <a:ext cx="3959860" cy="281114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39</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TK10土样（标杆长1米，土样由左上到右下）</w:t>
      </w:r>
    </w:p>
    <w:p>
      <w:pPr>
        <w:pStyle w:val="9"/>
        <w:jc w:val="center"/>
        <w:outlineLvl w:val="0"/>
        <w:rPr>
          <w:rStyle w:val="56"/>
          <w:rFonts w:hint="eastAsia" w:eastAsia="宋体"/>
          <w:lang w:val="en-US" w:eastAsia="zh-CN" w:bidi="ar-SA"/>
        </w:rPr>
      </w:pPr>
      <w:bookmarkStart w:id="44" w:name="_Toc23928"/>
      <w:r>
        <w:rPr>
          <w:rStyle w:val="56"/>
          <w:rFonts w:hint="eastAsia" w:eastAsia="宋体"/>
          <w:lang w:val="en-US" w:eastAsia="zh-CN" w:bidi="ar-SA"/>
        </w:rPr>
        <w:t>三、考古调查结果和文物保护意见</w:t>
      </w:r>
      <w:bookmarkEnd w:id="38"/>
      <w:bookmarkEnd w:id="44"/>
    </w:p>
    <w:p>
      <w:pPr>
        <w:pStyle w:val="7"/>
        <w:pageBreakBefore w:val="0"/>
        <w:widowControl/>
        <w:kinsoku/>
        <w:wordWrap/>
        <w:overflowPunct/>
        <w:topLinePunct w:val="0"/>
        <w:autoSpaceDE/>
        <w:autoSpaceDN/>
        <w:bidi w:val="0"/>
        <w:adjustRightInd/>
        <w:snapToGrid/>
        <w:spacing w:before="0" w:after="0" w:line="360" w:lineRule="auto"/>
        <w:ind w:firstLine="560" w:firstLineChars="200"/>
        <w:textAlignment w:val="auto"/>
        <w:rPr>
          <w:b w:val="0"/>
          <w:bCs w:val="0"/>
          <w:sz w:val="28"/>
          <w:szCs w:val="28"/>
          <w:lang w:val="en-US"/>
        </w:rPr>
      </w:pPr>
      <w:bookmarkStart w:id="45" w:name="_Toc2782"/>
      <w:bookmarkStart w:id="46" w:name="_Toc27632"/>
      <w:r>
        <w:rPr>
          <w:rFonts w:hint="eastAsia" w:ascii="Cambria" w:hAnsi="Cambria" w:eastAsia="宋体" w:cs="宋体"/>
          <w:b w:val="0"/>
          <w:bCs w:val="0"/>
          <w:sz w:val="28"/>
          <w:szCs w:val="28"/>
          <w:lang w:eastAsia="zh-CN"/>
        </w:rPr>
        <w:t>（一）考古调查结果</w:t>
      </w:r>
      <w:bookmarkEnd w:id="45"/>
      <w:bookmarkEnd w:id="4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bookmarkStart w:id="47" w:name="_Toc12989"/>
      <w:bookmarkStart w:id="48" w:name="_Toc8002"/>
      <w:bookmarkStart w:id="49" w:name="_Toc15813"/>
      <w:bookmarkStart w:id="50" w:name="_Toc6409_WPSOffice_Level2"/>
      <w:bookmarkStart w:id="51" w:name="_Toc15456"/>
      <w:bookmarkStart w:id="52" w:name="_Toc17091"/>
      <w:bookmarkStart w:id="53" w:name="_Toc21647"/>
      <w:r>
        <w:rPr>
          <w:rFonts w:hint="eastAsia" w:ascii="宋体" w:hAnsi="宋体" w:eastAsia="宋体" w:cs="宋体"/>
          <w:kern w:val="2"/>
          <w:sz w:val="24"/>
          <w:szCs w:val="24"/>
          <w:highlight w:val="none"/>
          <w:lang w:val="en-US" w:eastAsia="zh-CN" w:bidi="zh-CN"/>
        </w:rPr>
        <w:t>根据《中华人民共和国文物保护法》《广州市文物保护规定》，按照</w:t>
      </w:r>
      <w:r>
        <w:rPr>
          <w:rFonts w:hint="eastAsia" w:ascii="宋体" w:hAnsi="宋体" w:cs="宋体"/>
          <w:kern w:val="2"/>
          <w:sz w:val="24"/>
          <w:szCs w:val="24"/>
          <w:highlight w:val="none"/>
          <w:lang w:val="en-US" w:eastAsia="zh-CN" w:bidi="zh-CN"/>
        </w:rPr>
        <w:t>《广州市文物局关于增城区2023年度第一批地块考古调查勘探工作的复函》（文物2023207号）</w:t>
      </w:r>
      <w:r>
        <w:rPr>
          <w:rFonts w:hint="eastAsia" w:ascii="宋体" w:hAnsi="宋体" w:eastAsia="宋体" w:cs="宋体"/>
          <w:kern w:val="2"/>
          <w:sz w:val="24"/>
          <w:szCs w:val="24"/>
          <w:highlight w:val="none"/>
          <w:lang w:val="en-US" w:eastAsia="zh-CN" w:bidi="zh-CN"/>
        </w:rPr>
        <w:t>指导意见，受</w:t>
      </w:r>
      <w:r>
        <w:rPr>
          <w:rFonts w:hint="eastAsia" w:ascii="宋体" w:hAnsi="宋体" w:cs="宋体"/>
          <w:kern w:val="2"/>
          <w:sz w:val="24"/>
          <w:szCs w:val="24"/>
          <w:highlight w:val="none"/>
          <w:lang w:val="en-US" w:eastAsia="zh-CN" w:bidi="zh-CN"/>
        </w:rPr>
        <w:t>广州市增城区土地开发储备中心</w:t>
      </w:r>
      <w:r>
        <w:rPr>
          <w:rFonts w:hint="eastAsia" w:ascii="宋体" w:hAnsi="宋体" w:eastAsia="宋体" w:cs="宋体"/>
          <w:kern w:val="2"/>
          <w:sz w:val="24"/>
          <w:szCs w:val="24"/>
          <w:highlight w:val="none"/>
          <w:lang w:val="en-US" w:eastAsia="zh-CN" w:bidi="zh-CN"/>
        </w:rPr>
        <w:t>的委托，我院对</w:t>
      </w:r>
      <w:r>
        <w:rPr>
          <w:rFonts w:hint="eastAsia" w:ascii="宋体" w:hAnsi="宋体" w:cs="宋体"/>
          <w:kern w:val="2"/>
          <w:sz w:val="24"/>
          <w:szCs w:val="24"/>
          <w:highlight w:val="none"/>
          <w:lang w:val="en-US" w:eastAsia="zh-CN" w:bidi="zh-CN"/>
        </w:rPr>
        <w:t>增城区中新镇广汕公路北侧66.186亩地块总用地面积44124</w:t>
      </w:r>
      <w:r>
        <w:rPr>
          <w:rFonts w:hint="eastAsia" w:ascii="宋体" w:hAnsi="宋体" w:eastAsia="宋体" w:cs="宋体"/>
          <w:kern w:val="2"/>
          <w:sz w:val="24"/>
          <w:szCs w:val="24"/>
          <w:highlight w:val="none"/>
          <w:lang w:val="en-US" w:eastAsia="zh-CN" w:bidi="zh-CN"/>
        </w:rPr>
        <w:t>平方米进行了考古调查。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经调查，增城区中新镇广汕公路北侧66.186亩地块位于广州市增城区中新镇乌石村内，西部、南部临坑贝水，南至广汕公路，东至乌石南一路。地块整体地势较低，地形平坦，覆盖有较厚现代回填土，地表种植有红薯、玉米、青菜等农作物，局部分布有香蕉树、杂草等。考古试探表明，地块内地层堆积简单且一致：①层：垫土层，为灰褐色、红褐色黏土，土质疏松，包含植物根茎、风化石渣等，探至4.0米处仍无变化，且出水严重土样无法带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调查在地块范围内未发现古代文化遗存和不可移动文物。</w:t>
      </w:r>
    </w:p>
    <w:p>
      <w:pPr>
        <w:pStyle w:val="7"/>
        <w:pageBreakBefore w:val="0"/>
        <w:widowControl/>
        <w:kinsoku/>
        <w:wordWrap/>
        <w:overflowPunct/>
        <w:topLinePunct w:val="0"/>
        <w:autoSpaceDE/>
        <w:autoSpaceDN/>
        <w:bidi w:val="0"/>
        <w:adjustRightInd/>
        <w:snapToGrid/>
        <w:spacing w:before="0" w:after="0" w:line="360" w:lineRule="auto"/>
        <w:ind w:firstLine="560" w:firstLineChars="200"/>
        <w:textAlignment w:val="auto"/>
        <w:rPr>
          <w:b w:val="0"/>
          <w:bCs w:val="0"/>
          <w:sz w:val="28"/>
          <w:szCs w:val="28"/>
          <w:lang w:val="en-US"/>
        </w:rPr>
      </w:pPr>
      <w:bookmarkStart w:id="54" w:name="_Toc25116"/>
      <w:r>
        <w:rPr>
          <w:rFonts w:hint="eastAsia" w:ascii="Cambria" w:hAnsi="Cambria" w:eastAsia="宋体" w:cs="宋体"/>
          <w:b w:val="0"/>
          <w:bCs w:val="0"/>
          <w:sz w:val="28"/>
          <w:szCs w:val="28"/>
          <w:lang w:eastAsia="zh-CN"/>
        </w:rPr>
        <w:t>（二）文物保护意见</w:t>
      </w:r>
      <w:bookmarkEnd w:id="47"/>
      <w:bookmarkEnd w:id="48"/>
      <w:bookmarkEnd w:id="49"/>
      <w:bookmarkEnd w:id="50"/>
      <w:bookmarkEnd w:id="51"/>
      <w:bookmarkEnd w:id="52"/>
      <w:bookmarkEnd w:id="53"/>
      <w:bookmarkEnd w:id="54"/>
      <w:bookmarkStart w:id="55" w:name="_Toc447056077"/>
      <w:r>
        <w:rPr>
          <w:b w:val="0"/>
          <w:bCs w:val="0"/>
          <w:sz w:val="28"/>
          <w:szCs w:val="28"/>
          <w:lang w:eastAsia="zh-CN"/>
        </w:rPr>
        <w:t xml:space="preserve"> </w:t>
      </w:r>
    </w:p>
    <w:bookmarkEnd w:id="55"/>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bookmarkStart w:id="56" w:name="_Toc27444"/>
      <w:bookmarkStart w:id="57" w:name="_Toc16112"/>
      <w:bookmarkStart w:id="58" w:name="_Toc21596"/>
      <w:bookmarkStart w:id="59" w:name="_Toc18895_WPSOffice_Level1"/>
      <w:bookmarkStart w:id="60" w:name="_Toc7022"/>
      <w:bookmarkStart w:id="61" w:name="_Toc22862"/>
      <w:bookmarkStart w:id="62" w:name="_Toc15363"/>
      <w:bookmarkStart w:id="63" w:name="_Toc32036"/>
      <w:bookmarkStart w:id="64" w:name="_Toc29911"/>
      <w:r>
        <w:rPr>
          <w:rFonts w:hint="eastAsia" w:ascii="宋体" w:hAnsi="宋体" w:eastAsia="宋体" w:cs="宋体"/>
          <w:kern w:val="2"/>
          <w:sz w:val="24"/>
          <w:szCs w:val="24"/>
          <w:highlight w:val="none"/>
          <w:lang w:val="en-US" w:eastAsia="zh-CN" w:bidi="zh-CN"/>
        </w:rPr>
        <w:t xml:space="preserve">根据以上考古调查和试探结果，在在地块范围内发现具有历史文化价值、需要进一步开展考古勘探的古代文化遗存。本次调查对于今后在这一区域的考古工作具有一定的借鉴意义。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本次考古调查工作完成后，收储单位可以按规定继续完善土地出让的手续。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由于地下堆积、文化遗存的形成和分布存在一定的特殊性，将来在建设施工过程中如果发现文物，建设、施工单位应当立即停止施工，保护好现场，并及时报请文物部门处理。</w:t>
      </w:r>
    </w:p>
    <w:p>
      <w:pPr>
        <w:ind w:firstLine="0" w:firstLineChars="0"/>
        <w:outlineLvl w:val="9"/>
        <w:rPr>
          <w:rStyle w:val="55"/>
          <w:rFonts w:hint="eastAsia"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p>
    <w:p>
      <w:pPr>
        <w:rPr>
          <w:rStyle w:val="55"/>
          <w:rFonts w:hint="eastAsia" w:ascii="Times New Roman" w:hAnsi="Times New Roman" w:cs="Times New Roman"/>
          <w:lang w:val="en-US" w:eastAsia="zh-CN"/>
        </w:rPr>
        <w:sectPr>
          <w:pgSz w:w="11906" w:h="16838"/>
          <w:pgMar w:top="1440" w:right="1800" w:bottom="1440" w:left="1800" w:header="851" w:footer="992" w:gutter="0"/>
          <w:pgNumType w:fmt="decimal"/>
          <w:cols w:space="720" w:num="1"/>
          <w:docGrid w:type="lines" w:linePitch="312" w:charSpace="0"/>
        </w:sectPr>
      </w:pPr>
    </w:p>
    <w:p>
      <w:pPr>
        <w:jc w:val="both"/>
        <w:outlineLvl w:val="0"/>
        <w:rPr>
          <w:rFonts w:hint="eastAsia" w:ascii="Times New Roman" w:hAnsi="Times New Roman" w:eastAsia="宋体" w:cs="Times New Roman"/>
          <w:b/>
          <w:bCs/>
          <w:color w:val="auto"/>
          <w:kern w:val="44"/>
          <w:sz w:val="28"/>
          <w:szCs w:val="44"/>
          <w:lang w:val="en-US" w:eastAsia="zh-CN" w:bidi="en-US"/>
        </w:rPr>
      </w:pPr>
      <w:bookmarkStart w:id="65" w:name="_Toc16224"/>
      <w:bookmarkStart w:id="66" w:name="_Toc21001"/>
      <w:bookmarkStart w:id="67" w:name="_Toc30030"/>
      <w:bookmarkStart w:id="68" w:name="_Toc28885"/>
      <w:r>
        <w:rPr>
          <w:rFonts w:hint="eastAsia" w:ascii="Times New Roman" w:hAnsi="Times New Roman" w:eastAsia="宋体" w:cs="Times New Roman"/>
          <w:b/>
          <w:bCs/>
          <w:color w:val="auto"/>
          <w:kern w:val="44"/>
          <w:sz w:val="28"/>
          <w:szCs w:val="44"/>
          <w:lang w:val="en-US" w:eastAsia="zh-CN" w:bidi="en-US"/>
        </w:rPr>
        <w:t xml:space="preserve">附表一  </w:t>
      </w:r>
      <w:r>
        <w:rPr>
          <w:rFonts w:hint="eastAsia" w:ascii="Times New Roman" w:hAnsi="Times New Roman" w:cs="Times New Roman"/>
          <w:b/>
          <w:bCs/>
          <w:color w:val="auto"/>
          <w:kern w:val="44"/>
          <w:sz w:val="28"/>
          <w:szCs w:val="44"/>
          <w:lang w:val="en-US" w:eastAsia="zh-CN" w:bidi="en-US"/>
        </w:rPr>
        <w:t>增城区中新镇广汕公路北侧66.186亩地块</w:t>
      </w:r>
      <w:r>
        <w:rPr>
          <w:rFonts w:hint="eastAsia" w:ascii="Times New Roman" w:hAnsi="Times New Roman" w:eastAsia="宋体" w:cs="Times New Roman"/>
          <w:b/>
          <w:bCs/>
          <w:color w:val="auto"/>
          <w:kern w:val="44"/>
          <w:sz w:val="28"/>
          <w:szCs w:val="44"/>
          <w:lang w:val="en-US" w:eastAsia="zh-CN" w:bidi="en-US"/>
        </w:rPr>
        <w:t>考古调查试探数据</w:t>
      </w:r>
      <w:bookmarkEnd w:id="65"/>
      <w:bookmarkEnd w:id="66"/>
      <w:bookmarkEnd w:id="67"/>
      <w:bookmarkEnd w:id="68"/>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7"/>
        <w:gridCol w:w="1675"/>
        <w:gridCol w:w="1738"/>
        <w:gridCol w:w="662"/>
        <w:gridCol w:w="1140"/>
        <w:gridCol w:w="3120"/>
        <w:gridCol w:w="975"/>
        <w:gridCol w:w="1200"/>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97"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序号</w:t>
            </w:r>
          </w:p>
        </w:tc>
        <w:tc>
          <w:tcPr>
            <w:tcW w:w="3413" w:type="dxa"/>
            <w:gridSpan w:val="2"/>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卡探夹孔编号</w:t>
            </w:r>
          </w:p>
        </w:tc>
        <w:tc>
          <w:tcPr>
            <w:tcW w:w="662"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层位</w:t>
            </w:r>
          </w:p>
        </w:tc>
        <w:tc>
          <w:tcPr>
            <w:tcW w:w="1140"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距离地表</w:t>
            </w:r>
          </w:p>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深度</w:t>
            </w:r>
            <w:r>
              <w:rPr>
                <w:rFonts w:hint="eastAsia" w:cs="宋体"/>
                <w:b/>
                <w:sz w:val="21"/>
                <w:szCs w:val="21"/>
                <w:lang w:eastAsia="zh-CN"/>
              </w:rPr>
              <w:t>（</w:t>
            </w:r>
            <w:r>
              <w:rPr>
                <w:rFonts w:hint="eastAsia" w:cs="宋体"/>
                <w:b/>
                <w:sz w:val="21"/>
                <w:szCs w:val="21"/>
                <w:lang w:val="en-US" w:eastAsia="zh-CN"/>
              </w:rPr>
              <w:t>米</w:t>
            </w:r>
            <w:r>
              <w:rPr>
                <w:rFonts w:hint="eastAsia" w:cs="宋体"/>
                <w:b/>
                <w:sz w:val="21"/>
                <w:szCs w:val="21"/>
                <w:lang w:eastAsia="zh-CN"/>
              </w:rPr>
              <w:t>）</w:t>
            </w:r>
          </w:p>
        </w:tc>
        <w:tc>
          <w:tcPr>
            <w:tcW w:w="3120"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堆积和包含物</w:t>
            </w:r>
          </w:p>
        </w:tc>
        <w:tc>
          <w:tcPr>
            <w:tcW w:w="975"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堆积性</w:t>
            </w:r>
          </w:p>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质初判</w:t>
            </w:r>
          </w:p>
        </w:tc>
        <w:tc>
          <w:tcPr>
            <w:tcW w:w="1200"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堆积年</w:t>
            </w:r>
          </w:p>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代初判</w:t>
            </w:r>
          </w:p>
        </w:tc>
        <w:tc>
          <w:tcPr>
            <w:tcW w:w="2745"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trPr>
        <w:tc>
          <w:tcPr>
            <w:tcW w:w="697"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1675"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N</w:t>
            </w:r>
          </w:p>
        </w:tc>
        <w:tc>
          <w:tcPr>
            <w:tcW w:w="1738"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E</w:t>
            </w:r>
          </w:p>
        </w:tc>
        <w:tc>
          <w:tcPr>
            <w:tcW w:w="662"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1140"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3120"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975"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1200"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2745" w:type="dxa"/>
            <w:vMerge w:val="continue"/>
            <w:noWrap w:val="0"/>
            <w:vAlign w:val="top"/>
          </w:tcPr>
          <w:p>
            <w:pPr>
              <w:keepNext w:val="0"/>
              <w:keepLines w:val="0"/>
              <w:suppressLineNumbers w:val="0"/>
              <w:autoSpaceDE w:val="0"/>
              <w:autoSpaceDN w:val="0"/>
              <w:spacing w:before="0" w:beforeAutospacing="0" w:after="0" w:afterAutospacing="0"/>
              <w:ind w:left="0" w:leftChars="0" w:right="0" w:rightChars="0"/>
              <w:jc w:val="center"/>
              <w:rPr>
                <w:rFonts w:hint="eastAsia" w:ascii="宋体" w:hAnsi="宋体" w:eastAsia="宋体" w:cs="宋体"/>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TK1</w:t>
            </w:r>
          </w:p>
        </w:tc>
        <w:tc>
          <w:tcPr>
            <w:tcW w:w="167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23°17′30.50″</w:t>
            </w:r>
          </w:p>
        </w:tc>
        <w:tc>
          <w:tcPr>
            <w:tcW w:w="1738"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113°37′49.38″</w:t>
            </w:r>
          </w:p>
        </w:tc>
        <w:tc>
          <w:tcPr>
            <w:tcW w:w="662"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default"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4.0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cs="宋体"/>
                <w:color w:val="auto"/>
                <w:sz w:val="21"/>
                <w:szCs w:val="21"/>
                <w:lang w:val="en-US" w:eastAsia="zh-CN"/>
              </w:rPr>
              <w:t>为灰褐色、</w:t>
            </w:r>
            <w:r>
              <w:rPr>
                <w:rFonts w:hint="eastAsia" w:ascii="宋体" w:hAnsi="宋体" w:eastAsia="宋体" w:cs="宋体"/>
                <w:color w:val="auto"/>
                <w:sz w:val="21"/>
                <w:szCs w:val="21"/>
                <w:lang w:val="en-US" w:eastAsia="zh-CN"/>
              </w:rPr>
              <w:t>红褐色黏土，土质疏松，包含植物根茎、风化石渣等</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zh-CN"/>
              </w:rPr>
            </w:pPr>
            <w:r>
              <w:rPr>
                <w:rFonts w:hint="eastAsia"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zh-CN"/>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default"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探至4.0米</w:t>
            </w:r>
            <w:r>
              <w:rPr>
                <w:rFonts w:hint="eastAsia" w:ascii="宋体" w:hAnsi="宋体" w:cs="宋体"/>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TK2</w:t>
            </w:r>
          </w:p>
        </w:tc>
        <w:tc>
          <w:tcPr>
            <w:tcW w:w="167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23°17′29.52″</w:t>
            </w:r>
          </w:p>
        </w:tc>
        <w:tc>
          <w:tcPr>
            <w:tcW w:w="1738"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113°37′51.20″</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4.0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cs="宋体"/>
                <w:color w:val="auto"/>
                <w:sz w:val="21"/>
                <w:szCs w:val="21"/>
                <w:lang w:val="en-US" w:eastAsia="zh-CN"/>
              </w:rPr>
              <w:t>为灰褐色、</w:t>
            </w:r>
            <w:r>
              <w:rPr>
                <w:rFonts w:hint="eastAsia" w:ascii="宋体" w:hAnsi="宋体" w:eastAsia="宋体" w:cs="宋体"/>
                <w:color w:val="auto"/>
                <w:sz w:val="21"/>
                <w:szCs w:val="21"/>
                <w:lang w:val="en-US" w:eastAsia="zh-CN"/>
              </w:rPr>
              <w:t>红褐色黏土，土质疏松，包含植物根茎、风化石渣等</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探至4.0米</w:t>
            </w:r>
            <w:r>
              <w:rPr>
                <w:rFonts w:hint="eastAsia" w:ascii="宋体" w:hAnsi="宋体" w:cs="宋体"/>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TK3</w:t>
            </w:r>
          </w:p>
        </w:tc>
        <w:tc>
          <w:tcPr>
            <w:tcW w:w="167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23°17′28.92″</w:t>
            </w:r>
          </w:p>
        </w:tc>
        <w:tc>
          <w:tcPr>
            <w:tcW w:w="1738"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113°37′53.05″</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4.0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cs="宋体"/>
                <w:color w:val="auto"/>
                <w:sz w:val="21"/>
                <w:szCs w:val="21"/>
                <w:lang w:val="en-US" w:eastAsia="zh-CN"/>
              </w:rPr>
              <w:t>为灰褐色、</w:t>
            </w:r>
            <w:r>
              <w:rPr>
                <w:rFonts w:hint="eastAsia" w:ascii="宋体" w:hAnsi="宋体" w:eastAsia="宋体" w:cs="宋体"/>
                <w:color w:val="auto"/>
                <w:sz w:val="21"/>
                <w:szCs w:val="21"/>
                <w:lang w:val="en-US" w:eastAsia="zh-CN"/>
              </w:rPr>
              <w:t>红褐色黏土，土质疏松，包含植物根茎、风化石渣等</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探至4.0米</w:t>
            </w:r>
            <w:r>
              <w:rPr>
                <w:rFonts w:hint="eastAsia" w:ascii="宋体" w:hAnsi="宋体" w:cs="宋体"/>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TK4</w:t>
            </w:r>
          </w:p>
        </w:tc>
        <w:tc>
          <w:tcPr>
            <w:tcW w:w="167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23°17′28.27″</w:t>
            </w:r>
          </w:p>
        </w:tc>
        <w:tc>
          <w:tcPr>
            <w:tcW w:w="1738"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113°37′55.54″</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4.0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cs="宋体"/>
                <w:color w:val="auto"/>
                <w:sz w:val="21"/>
                <w:szCs w:val="21"/>
                <w:lang w:val="en-US" w:eastAsia="zh-CN"/>
              </w:rPr>
              <w:t>为</w:t>
            </w:r>
            <w:r>
              <w:rPr>
                <w:rFonts w:hint="eastAsia" w:ascii="宋体" w:hAnsi="宋体" w:eastAsia="宋体" w:cs="宋体"/>
                <w:color w:val="auto"/>
                <w:sz w:val="21"/>
                <w:szCs w:val="21"/>
                <w:lang w:val="en-US" w:eastAsia="zh-CN"/>
              </w:rPr>
              <w:t>红褐色黏土，土质疏松，包含植物根茎、风化石渣等</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探至4.0米</w:t>
            </w:r>
            <w:r>
              <w:rPr>
                <w:rFonts w:hint="eastAsia" w:ascii="宋体" w:hAnsi="宋体" w:cs="宋体"/>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TK5</w:t>
            </w:r>
          </w:p>
        </w:tc>
        <w:tc>
          <w:tcPr>
            <w:tcW w:w="167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23°17′26.47″</w:t>
            </w:r>
          </w:p>
        </w:tc>
        <w:tc>
          <w:tcPr>
            <w:tcW w:w="1738"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113°37′55.79″</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4.0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cs="宋体"/>
                <w:color w:val="auto"/>
                <w:sz w:val="21"/>
                <w:szCs w:val="21"/>
                <w:lang w:val="en-US" w:eastAsia="zh-CN"/>
              </w:rPr>
              <w:t>为</w:t>
            </w:r>
            <w:r>
              <w:rPr>
                <w:rFonts w:hint="eastAsia" w:ascii="宋体" w:hAnsi="宋体" w:eastAsia="宋体" w:cs="宋体"/>
                <w:color w:val="auto"/>
                <w:sz w:val="21"/>
                <w:szCs w:val="21"/>
                <w:lang w:val="en-US" w:eastAsia="zh-CN"/>
              </w:rPr>
              <w:t>红褐色黏土，土质疏松，包含植物根茎、风化石渣等</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探至4.0米</w:t>
            </w:r>
            <w:r>
              <w:rPr>
                <w:rFonts w:hint="eastAsia" w:ascii="宋体" w:hAnsi="宋体" w:cs="宋体"/>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TK6</w:t>
            </w:r>
          </w:p>
        </w:tc>
        <w:tc>
          <w:tcPr>
            <w:tcW w:w="167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23°17′27.36″</w:t>
            </w:r>
          </w:p>
        </w:tc>
        <w:tc>
          <w:tcPr>
            <w:tcW w:w="1738"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113°37′53.38″</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4.0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cs="宋体"/>
                <w:color w:val="auto"/>
                <w:sz w:val="21"/>
                <w:szCs w:val="21"/>
                <w:lang w:val="en-US" w:eastAsia="zh-CN"/>
              </w:rPr>
              <w:t>为</w:t>
            </w:r>
            <w:r>
              <w:rPr>
                <w:rFonts w:hint="eastAsia" w:ascii="宋体" w:hAnsi="宋体" w:eastAsia="宋体" w:cs="宋体"/>
                <w:color w:val="auto"/>
                <w:sz w:val="21"/>
                <w:szCs w:val="21"/>
                <w:lang w:val="en-US" w:eastAsia="zh-CN"/>
              </w:rPr>
              <w:t>红褐色黏土，土质疏松，包含植物根茎、风化石渣等</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探至4.0米</w:t>
            </w:r>
            <w:r>
              <w:rPr>
                <w:rFonts w:hint="eastAsia" w:ascii="宋体" w:hAnsi="宋体" w:cs="宋体"/>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TK7</w:t>
            </w:r>
          </w:p>
        </w:tc>
        <w:tc>
          <w:tcPr>
            <w:tcW w:w="167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23°17′28.16″</w:t>
            </w:r>
          </w:p>
        </w:tc>
        <w:tc>
          <w:tcPr>
            <w:tcW w:w="1738"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113°37′51.43″</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4.0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cs="宋体"/>
                <w:color w:val="auto"/>
                <w:sz w:val="21"/>
                <w:szCs w:val="21"/>
                <w:lang w:val="en-US" w:eastAsia="zh-CN"/>
              </w:rPr>
              <w:t>为</w:t>
            </w:r>
            <w:r>
              <w:rPr>
                <w:rFonts w:hint="eastAsia" w:ascii="宋体" w:hAnsi="宋体" w:eastAsia="宋体" w:cs="宋体"/>
                <w:color w:val="auto"/>
                <w:sz w:val="21"/>
                <w:szCs w:val="21"/>
                <w:lang w:val="en-US" w:eastAsia="zh-CN"/>
              </w:rPr>
              <w:t>红褐色黏土，土质疏松，包含植物根茎、风化石渣等</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探至4.0米</w:t>
            </w:r>
            <w:r>
              <w:rPr>
                <w:rFonts w:hint="eastAsia" w:ascii="宋体" w:hAnsi="宋体" w:cs="宋体"/>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TK8</w:t>
            </w:r>
          </w:p>
        </w:tc>
        <w:tc>
          <w:tcPr>
            <w:tcW w:w="167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23°17′28.85″</w:t>
            </w:r>
          </w:p>
        </w:tc>
        <w:tc>
          <w:tcPr>
            <w:tcW w:w="1738"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113°37′49.15″</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4.0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cs="宋体"/>
                <w:color w:val="auto"/>
                <w:sz w:val="21"/>
                <w:szCs w:val="21"/>
                <w:lang w:val="en-US" w:eastAsia="zh-CN"/>
              </w:rPr>
              <w:t>为</w:t>
            </w:r>
            <w:r>
              <w:rPr>
                <w:rFonts w:hint="eastAsia" w:ascii="宋体" w:hAnsi="宋体" w:eastAsia="宋体" w:cs="宋体"/>
                <w:color w:val="auto"/>
                <w:sz w:val="21"/>
                <w:szCs w:val="21"/>
                <w:lang w:val="en-US" w:eastAsia="zh-CN"/>
              </w:rPr>
              <w:t>红褐色黏土，土质疏松，包含植物根茎、风化石渣等</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探至4.0米</w:t>
            </w:r>
            <w:r>
              <w:rPr>
                <w:rFonts w:hint="eastAsia" w:ascii="宋体" w:hAnsi="宋体" w:cs="宋体"/>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TK9</w:t>
            </w:r>
          </w:p>
        </w:tc>
        <w:tc>
          <w:tcPr>
            <w:tcW w:w="167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23°17′26.52″</w:t>
            </w:r>
          </w:p>
        </w:tc>
        <w:tc>
          <w:tcPr>
            <w:tcW w:w="1738"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113°37′52.06″</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4.0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cs="宋体"/>
                <w:color w:val="auto"/>
                <w:sz w:val="21"/>
                <w:szCs w:val="21"/>
                <w:lang w:val="en-US" w:eastAsia="zh-CN"/>
              </w:rPr>
              <w:t>为灰褐色、</w:t>
            </w:r>
            <w:r>
              <w:rPr>
                <w:rFonts w:hint="eastAsia" w:ascii="宋体" w:hAnsi="宋体" w:eastAsia="宋体" w:cs="宋体"/>
                <w:color w:val="auto"/>
                <w:sz w:val="21"/>
                <w:szCs w:val="21"/>
                <w:lang w:val="en-US" w:eastAsia="zh-CN"/>
              </w:rPr>
              <w:t>红褐色黏土，土质疏松，包含植物根茎、风化石渣等</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探至4.0米</w:t>
            </w:r>
            <w:r>
              <w:rPr>
                <w:rFonts w:hint="eastAsia" w:ascii="宋体" w:hAnsi="宋体" w:cs="宋体"/>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TK10</w:t>
            </w:r>
          </w:p>
        </w:tc>
        <w:tc>
          <w:tcPr>
            <w:tcW w:w="167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23°17′24.64″</w:t>
            </w:r>
          </w:p>
        </w:tc>
        <w:tc>
          <w:tcPr>
            <w:tcW w:w="1738"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113°37′54.94″</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4.0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cs="宋体"/>
                <w:color w:val="auto"/>
                <w:sz w:val="21"/>
                <w:szCs w:val="21"/>
                <w:lang w:val="en-US" w:eastAsia="zh-CN"/>
              </w:rPr>
              <w:t>为</w:t>
            </w:r>
            <w:r>
              <w:rPr>
                <w:rFonts w:hint="eastAsia" w:ascii="宋体" w:hAnsi="宋体" w:eastAsia="宋体" w:cs="宋体"/>
                <w:color w:val="auto"/>
                <w:sz w:val="21"/>
                <w:szCs w:val="21"/>
                <w:lang w:val="en-US" w:eastAsia="zh-CN"/>
              </w:rPr>
              <w:t>红褐色黏土，土质疏松，包含植物根茎、风化石渣等</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探至4.0米</w:t>
            </w:r>
            <w:r>
              <w:rPr>
                <w:rFonts w:hint="eastAsia" w:ascii="宋体" w:hAnsi="宋体" w:cs="宋体"/>
                <w:color w:val="auto"/>
                <w:sz w:val="21"/>
                <w:szCs w:val="21"/>
                <w:lang w:val="en-US" w:eastAsia="zh-CN"/>
              </w:rPr>
              <w:t>无变化</w:t>
            </w:r>
          </w:p>
        </w:tc>
      </w:tr>
    </w:tbl>
    <w:p>
      <w:pPr>
        <w:pStyle w:val="2"/>
        <w:rPr>
          <w:rFonts w:hint="eastAsia"/>
          <w:lang w:val="en-US" w:eastAsia="zh-CN"/>
        </w:rPr>
        <w:sectPr>
          <w:pgSz w:w="16838" w:h="11906" w:orient="landscape"/>
          <w:pgMar w:top="1800" w:right="1440" w:bottom="1800" w:left="1440" w:header="851" w:footer="992" w:gutter="0"/>
          <w:pgNumType w:fmt="decimal"/>
          <w:cols w:space="720" w:num="1"/>
          <w:docGrid w:type="lines" w:linePitch="312" w:charSpace="0"/>
        </w:sectPr>
      </w:pPr>
    </w:p>
    <w:bookmarkEnd w:id="56"/>
    <w:bookmarkEnd w:id="57"/>
    <w:bookmarkEnd w:id="58"/>
    <w:bookmarkEnd w:id="59"/>
    <w:bookmarkEnd w:id="60"/>
    <w:bookmarkEnd w:id="61"/>
    <w:bookmarkEnd w:id="62"/>
    <w:bookmarkEnd w:id="63"/>
    <w:bookmarkEnd w:id="64"/>
    <w:p>
      <w:pPr>
        <w:pStyle w:val="6"/>
        <w:widowControl/>
        <w:spacing w:line="360" w:lineRule="auto"/>
        <w:jc w:val="left"/>
        <w:rPr>
          <w:rFonts w:hint="default" w:ascii="Times New Roman" w:hAnsi="Times New Roman" w:cs="Times New Roman"/>
          <w:sz w:val="28"/>
          <w:szCs w:val="28"/>
          <w:lang w:val="en-US" w:eastAsia="zh-CN" w:bidi="en-US"/>
        </w:rPr>
      </w:pPr>
      <w:bookmarkStart w:id="69" w:name="_Toc2888"/>
      <w:bookmarkStart w:id="70" w:name="_Toc22701"/>
      <w:bookmarkStart w:id="71" w:name="_Toc31541"/>
      <w:bookmarkStart w:id="72" w:name="_Toc11317"/>
      <w:bookmarkStart w:id="73" w:name="_Toc6852"/>
      <w:bookmarkStart w:id="74" w:name="_Toc30953"/>
      <w:r>
        <w:rPr>
          <w:rFonts w:hint="eastAsia"/>
          <w:sz w:val="28"/>
          <w:szCs w:val="28"/>
          <w:lang w:bidi="en-US"/>
        </w:rPr>
        <w:t>附录一</w:t>
      </w:r>
      <w:bookmarkEnd w:id="69"/>
      <w:r>
        <w:rPr>
          <w:rFonts w:hint="eastAsia"/>
          <w:sz w:val="28"/>
          <w:szCs w:val="28"/>
          <w:lang w:bidi="en-US"/>
        </w:rPr>
        <w:t xml:space="preserve"> </w:t>
      </w:r>
      <w:bookmarkEnd w:id="70"/>
      <w:bookmarkEnd w:id="71"/>
      <w:bookmarkEnd w:id="72"/>
      <w:r>
        <w:rPr>
          <w:rFonts w:hint="eastAsia"/>
          <w:sz w:val="28"/>
          <w:szCs w:val="28"/>
          <w:lang w:val="en-US" w:eastAsia="zh-CN" w:bidi="en-US"/>
        </w:rPr>
        <w:t xml:space="preserve"> </w:t>
      </w:r>
      <w:bookmarkEnd w:id="73"/>
      <w:bookmarkEnd w:id="74"/>
    </w:p>
    <w:p>
      <w:pPr>
        <w:jc w:val="center"/>
        <w:rPr>
          <w:rFonts w:hint="eastAsia" w:eastAsia="宋体"/>
          <w:lang w:eastAsia="zh-CN"/>
        </w:rPr>
      </w:pPr>
      <w:r>
        <w:drawing>
          <wp:inline distT="0" distB="0" distL="114300" distR="114300">
            <wp:extent cx="5270500" cy="7423150"/>
            <wp:effectExtent l="0" t="0" r="6350" b="635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5270500" cy="7423150"/>
                    </a:xfrm>
                    <a:prstGeom prst="rect">
                      <a:avLst/>
                    </a:prstGeom>
                    <a:noFill/>
                    <a:ln>
                      <a:noFill/>
                    </a:ln>
                  </pic:spPr>
                </pic:pic>
              </a:graphicData>
            </a:graphic>
          </wp:inline>
        </w:drawing>
      </w:r>
      <w:r>
        <w:drawing>
          <wp:inline distT="0" distB="0" distL="114300" distR="114300">
            <wp:extent cx="5273675" cy="7450455"/>
            <wp:effectExtent l="0" t="0" r="3175" b="1714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47"/>
                    <a:stretch>
                      <a:fillRect/>
                    </a:stretch>
                  </pic:blipFill>
                  <pic:spPr>
                    <a:xfrm>
                      <a:off x="0" y="0"/>
                      <a:ext cx="5273675" cy="7450455"/>
                    </a:xfrm>
                    <a:prstGeom prst="rect">
                      <a:avLst/>
                    </a:prstGeom>
                    <a:noFill/>
                    <a:ln>
                      <a:noFill/>
                    </a:ln>
                  </pic:spPr>
                </pic:pic>
              </a:graphicData>
            </a:graphic>
          </wp:inline>
        </w:drawing>
      </w:r>
    </w:p>
    <w:p>
      <w:pPr>
        <w:rPr>
          <w:rFonts w:hint="eastAsia" w:eastAsia="宋体"/>
          <w:lang w:eastAsia="zh-CN"/>
        </w:rPr>
      </w:pPr>
      <w:r>
        <w:rPr>
          <w:rFonts w:hint="eastAsia" w:eastAsia="宋体"/>
          <w:lang w:eastAsia="zh-CN"/>
        </w:rPr>
        <w:br w:type="page"/>
      </w:r>
    </w:p>
    <w:p>
      <w:pPr>
        <w:pStyle w:val="6"/>
        <w:keepNext/>
        <w:keepLines/>
        <w:pageBreakBefore w:val="0"/>
        <w:widowControl w:val="0"/>
        <w:kinsoku/>
        <w:wordWrap/>
        <w:overflowPunct/>
        <w:topLinePunct w:val="0"/>
        <w:autoSpaceDE/>
        <w:autoSpaceDN/>
        <w:bidi w:val="0"/>
        <w:adjustRightInd/>
        <w:snapToGrid/>
        <w:spacing w:before="0" w:after="0" w:line="360" w:lineRule="auto"/>
        <w:jc w:val="both"/>
        <w:textAlignment w:val="auto"/>
        <w:rPr>
          <w:sz w:val="28"/>
          <w:szCs w:val="28"/>
        </w:rPr>
      </w:pPr>
      <w:bookmarkStart w:id="75" w:name="_Toc2194"/>
      <w:bookmarkStart w:id="76" w:name="_Toc19118"/>
      <w:r>
        <w:rPr>
          <w:rFonts w:hint="eastAsia"/>
          <w:sz w:val="28"/>
          <w:szCs w:val="28"/>
        </w:rPr>
        <w:t>附录二</w:t>
      </w:r>
      <w:bookmarkEnd w:id="75"/>
      <w:r>
        <w:rPr>
          <w:rFonts w:hint="eastAsia"/>
          <w:sz w:val="28"/>
          <w:szCs w:val="28"/>
        </w:rPr>
        <w:t xml:space="preserve">  </w:t>
      </w:r>
      <w:bookmarkEnd w:id="76"/>
    </w:p>
    <w:p>
      <w:pPr>
        <w:autoSpaceDE w:val="0"/>
        <w:autoSpaceDN w:val="0"/>
        <w:spacing w:line="360" w:lineRule="auto"/>
        <w:jc w:val="center"/>
      </w:pPr>
    </w:p>
    <w:p>
      <w:pPr>
        <w:pStyle w:val="2"/>
        <w:ind w:left="0" w:leftChars="0" w:firstLine="0" w:firstLineChars="0"/>
        <w:sectPr>
          <w:footerReference r:id="rId5" w:type="default"/>
          <w:pgSz w:w="11906" w:h="16838"/>
          <w:pgMar w:top="1440" w:right="1800" w:bottom="1440" w:left="1800" w:header="851" w:footer="992" w:gutter="0"/>
          <w:pgNumType w:fmt="decimal"/>
          <w:cols w:space="720" w:num="1"/>
          <w:docGrid w:type="lines" w:linePitch="312" w:charSpace="0"/>
        </w:sectPr>
      </w:pPr>
      <w:r>
        <w:rPr>
          <w:rFonts w:hint="eastAsia"/>
          <w:lang w:eastAsia="zh-CN"/>
        </w:rPr>
        <w:drawing>
          <wp:inline distT="0" distB="0" distL="114300" distR="114300">
            <wp:extent cx="5260975" cy="3721100"/>
            <wp:effectExtent l="9525" t="9525" r="25400" b="22225"/>
            <wp:docPr id="52" name="图片 52" descr="新版考古发掘资质证书正本彩色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新版考古发掘资质证书正本彩色版"/>
                    <pic:cNvPicPr>
                      <a:picLocks noChangeAspect="1"/>
                    </pic:cNvPicPr>
                  </pic:nvPicPr>
                  <pic:blipFill>
                    <a:blip r:embed="rId48"/>
                    <a:stretch>
                      <a:fillRect/>
                    </a:stretch>
                  </pic:blipFill>
                  <pic:spPr>
                    <a:xfrm>
                      <a:off x="0" y="0"/>
                      <a:ext cx="5260975" cy="3721100"/>
                    </a:xfrm>
                    <a:prstGeom prst="rect">
                      <a:avLst/>
                    </a:prstGeom>
                    <a:ln>
                      <a:solidFill>
                        <a:schemeClr val="tx1"/>
                      </a:solidFill>
                    </a:ln>
                  </pic:spPr>
                </pic:pic>
              </a:graphicData>
            </a:graphic>
          </wp:inline>
        </w:drawing>
      </w:r>
    </w:p>
    <w:p>
      <w:pPr>
        <w:pStyle w:val="6"/>
        <w:widowControl/>
        <w:spacing w:before="0" w:after="0" w:line="360" w:lineRule="auto"/>
        <w:ind w:left="0" w:leftChars="0" w:firstLine="0" w:firstLineChars="0"/>
        <w:jc w:val="both"/>
        <w:rPr>
          <w:rFonts w:hint="eastAsia"/>
          <w:color w:val="auto"/>
          <w:sz w:val="28"/>
          <w:lang w:eastAsia="zh-CN" w:bidi="en-US"/>
        </w:rPr>
      </w:pPr>
      <w:bookmarkStart w:id="77" w:name="_Toc14696"/>
      <w:bookmarkStart w:id="78" w:name="_Toc705"/>
      <w:bookmarkStart w:id="79" w:name="_Toc17124"/>
      <w:bookmarkStart w:id="80" w:name="_Toc25755"/>
      <w:bookmarkStart w:id="81" w:name="_Toc3214"/>
      <w:bookmarkStart w:id="82" w:name="_Toc2365"/>
      <w:r>
        <w:rPr>
          <w:rFonts w:hint="eastAsia"/>
          <w:color w:val="auto"/>
          <w:sz w:val="28"/>
          <w:lang w:eastAsia="zh-CN" w:bidi="en-US"/>
        </w:rPr>
        <w:t>附录</w:t>
      </w:r>
      <w:bookmarkEnd w:id="77"/>
      <w:r>
        <w:rPr>
          <w:rFonts w:hint="eastAsia"/>
          <w:color w:val="auto"/>
          <w:sz w:val="28"/>
          <w:lang w:val="en-US" w:eastAsia="zh-CN" w:bidi="en-US"/>
        </w:rPr>
        <w:t>三</w:t>
      </w:r>
      <w:bookmarkStart w:id="83" w:name="_Toc7988"/>
      <w:bookmarkStart w:id="84" w:name="_Toc2581"/>
      <w:bookmarkStart w:id="85" w:name="_Toc16559"/>
      <w:bookmarkStart w:id="86" w:name="_Toc29804"/>
      <w:bookmarkStart w:id="87" w:name="_Toc21680"/>
      <w:r>
        <w:rPr>
          <w:rFonts w:hint="eastAsia"/>
          <w:color w:val="auto"/>
          <w:sz w:val="28"/>
          <w:lang w:val="en-US" w:eastAsia="zh-CN" w:bidi="en-US"/>
        </w:rPr>
        <w:t xml:space="preserve">  </w:t>
      </w:r>
      <w:r>
        <w:rPr>
          <w:rFonts w:hint="eastAsia"/>
          <w:color w:val="auto"/>
          <w:sz w:val="28"/>
          <w:lang w:eastAsia="zh-CN" w:bidi="en-US"/>
        </w:rPr>
        <w:t>文物保护法规（节选）</w:t>
      </w:r>
      <w:bookmarkEnd w:id="78"/>
      <w:bookmarkEnd w:id="79"/>
      <w:bookmarkEnd w:id="80"/>
      <w:bookmarkEnd w:id="81"/>
      <w:bookmarkEnd w:id="82"/>
      <w:bookmarkEnd w:id="83"/>
      <w:bookmarkEnd w:id="84"/>
      <w:bookmarkEnd w:id="85"/>
      <w:bookmarkEnd w:id="86"/>
      <w:bookmarkEnd w:id="87"/>
    </w:p>
    <w:p>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宋体" w:hAnsi="宋体"/>
          <w:bCs/>
          <w:sz w:val="30"/>
          <w:szCs w:val="30"/>
          <w:lang w:eastAsia="zh-CN"/>
        </w:rPr>
      </w:pPr>
      <w:r>
        <w:rPr>
          <w:rFonts w:hint="eastAsia" w:ascii="宋体" w:hAnsi="宋体"/>
          <w:b/>
          <w:bCs/>
          <w:sz w:val="30"/>
          <w:szCs w:val="30"/>
          <w:lang w:eastAsia="zh-CN"/>
        </w:rPr>
        <w:t>《中华人民共和国文物保护法》</w:t>
      </w:r>
      <w:r>
        <w:rPr>
          <w:rFonts w:hint="eastAsia" w:ascii="宋体" w:hAnsi="宋体"/>
          <w:b w:val="0"/>
          <w:bCs w:val="0"/>
          <w:sz w:val="24"/>
          <w:szCs w:val="24"/>
          <w:lang w:eastAsia="zh-CN"/>
        </w:rPr>
        <w:t>（20</w:t>
      </w:r>
      <w:r>
        <w:rPr>
          <w:rFonts w:hint="eastAsia" w:ascii="宋体" w:hAnsi="宋体"/>
          <w:b w:val="0"/>
          <w:bCs w:val="0"/>
          <w:sz w:val="24"/>
          <w:szCs w:val="24"/>
          <w:lang w:val="en-US" w:eastAsia="zh-CN"/>
        </w:rPr>
        <w:t>17</w:t>
      </w:r>
      <w:r>
        <w:rPr>
          <w:rFonts w:hint="eastAsia" w:ascii="宋体" w:hAnsi="宋体"/>
          <w:b w:val="0"/>
          <w:bCs w:val="0"/>
          <w:sz w:val="24"/>
          <w:szCs w:val="24"/>
          <w:lang w:eastAsia="zh-CN"/>
        </w:rPr>
        <w:t>年1</w:t>
      </w:r>
      <w:r>
        <w:rPr>
          <w:rFonts w:hint="eastAsia" w:ascii="宋体" w:hAnsi="宋体"/>
          <w:b w:val="0"/>
          <w:bCs w:val="0"/>
          <w:sz w:val="24"/>
          <w:szCs w:val="24"/>
          <w:lang w:val="en-US" w:eastAsia="zh-CN"/>
        </w:rPr>
        <w:t>1</w:t>
      </w:r>
      <w:r>
        <w:rPr>
          <w:rFonts w:hint="eastAsia" w:ascii="宋体" w:hAnsi="宋体"/>
          <w:b w:val="0"/>
          <w:bCs w:val="0"/>
          <w:sz w:val="24"/>
          <w:szCs w:val="24"/>
          <w:lang w:eastAsia="zh-CN"/>
        </w:rPr>
        <w:t>月</w:t>
      </w:r>
      <w:r>
        <w:rPr>
          <w:rFonts w:hint="eastAsia" w:ascii="宋体" w:hAnsi="宋体"/>
          <w:b w:val="0"/>
          <w:bCs w:val="0"/>
          <w:sz w:val="24"/>
          <w:szCs w:val="24"/>
          <w:lang w:val="en-US" w:eastAsia="zh-CN"/>
        </w:rPr>
        <w:t>4</w:t>
      </w:r>
      <w:r>
        <w:rPr>
          <w:rFonts w:hint="eastAsia" w:ascii="宋体" w:hAnsi="宋体"/>
          <w:b w:val="0"/>
          <w:bCs w:val="0"/>
          <w:sz w:val="24"/>
          <w:szCs w:val="24"/>
          <w:lang w:eastAsia="zh-CN"/>
        </w:rPr>
        <w:t>日第</w:t>
      </w:r>
      <w:r>
        <w:rPr>
          <w:rFonts w:hint="eastAsia" w:ascii="宋体" w:hAnsi="宋体"/>
          <w:b w:val="0"/>
          <w:bCs w:val="0"/>
          <w:sz w:val="24"/>
          <w:szCs w:val="24"/>
          <w:lang w:val="en-US" w:eastAsia="zh-CN"/>
        </w:rPr>
        <w:t>十二</w:t>
      </w:r>
      <w:r>
        <w:rPr>
          <w:rFonts w:hint="eastAsia" w:ascii="宋体" w:hAnsi="宋体"/>
          <w:b w:val="0"/>
          <w:bCs w:val="0"/>
          <w:sz w:val="24"/>
          <w:szCs w:val="24"/>
          <w:lang w:eastAsia="zh-CN"/>
        </w:rPr>
        <w:t>届全国人民代表大会常务委员会第</w:t>
      </w:r>
      <w:r>
        <w:rPr>
          <w:rFonts w:hint="eastAsia" w:ascii="宋体" w:hAnsi="宋体"/>
          <w:b w:val="0"/>
          <w:bCs w:val="0"/>
          <w:sz w:val="24"/>
          <w:szCs w:val="24"/>
          <w:lang w:val="en-US" w:eastAsia="zh-CN"/>
        </w:rPr>
        <w:t>三十</w:t>
      </w:r>
      <w:r>
        <w:rPr>
          <w:rFonts w:hint="eastAsia" w:ascii="宋体" w:hAnsi="宋体"/>
          <w:b w:val="0"/>
          <w:bCs w:val="0"/>
          <w:sz w:val="24"/>
          <w:szCs w:val="24"/>
          <w:lang w:eastAsia="zh-CN"/>
        </w:rPr>
        <w:t>次会议通过）</w:t>
      </w:r>
    </w:p>
    <w:p>
      <w:pPr>
        <w:spacing w:line="360" w:lineRule="auto"/>
        <w:ind w:firstLine="498" w:firstLineChars="177"/>
        <w:rPr>
          <w:rFonts w:hint="eastAsia" w:ascii="宋体" w:hAnsi="宋体"/>
          <w:b/>
          <w:bCs/>
          <w:sz w:val="28"/>
          <w:szCs w:val="28"/>
          <w:lang w:eastAsia="zh-CN"/>
        </w:rPr>
      </w:pPr>
      <w:r>
        <w:rPr>
          <w:rFonts w:hint="eastAsia" w:ascii="宋体" w:hAnsi="宋体"/>
          <w:b/>
          <w:bCs/>
          <w:sz w:val="28"/>
          <w:szCs w:val="28"/>
          <w:lang w:eastAsia="zh-CN"/>
        </w:rPr>
        <w:t>第三章·考古发掘·</w:t>
      </w:r>
    </w:p>
    <w:p>
      <w:pPr>
        <w:spacing w:line="360" w:lineRule="auto"/>
        <w:ind w:firstLine="482" w:firstLineChars="200"/>
        <w:rPr>
          <w:rFonts w:hint="eastAsia" w:ascii="宋体" w:hAnsi="宋体"/>
          <w:bCs/>
          <w:sz w:val="24"/>
          <w:szCs w:val="24"/>
          <w:lang w:eastAsia="zh-CN"/>
        </w:rPr>
      </w:pPr>
      <w:r>
        <w:rPr>
          <w:rFonts w:hint="eastAsia" w:ascii="宋体" w:hAnsi="宋体"/>
          <w:b/>
          <w:bCs/>
          <w:sz w:val="24"/>
          <w:szCs w:val="24"/>
          <w:lang w:eastAsia="zh-CN"/>
        </w:rPr>
        <w:t>第二十九条</w:t>
      </w:r>
      <w:r>
        <w:rPr>
          <w:rFonts w:hint="eastAsia" w:ascii="宋体" w:hAnsi="宋体"/>
          <w:bCs/>
          <w:sz w:val="24"/>
          <w:szCs w:val="24"/>
          <w:lang w:eastAsia="zh-CN"/>
        </w:rPr>
        <w:t xml:space="preserve">  进行大型基本建设工程，建设单位应当事先报请省、自治区、直辖市人民政府文物行政部门组织从事考古发掘的单位在工程范围内有可能埋藏文物的地方进行考古调查、勘探。</w:t>
      </w:r>
    </w:p>
    <w:p>
      <w:pPr>
        <w:spacing w:line="360" w:lineRule="auto"/>
        <w:ind w:firstLine="482" w:firstLineChars="200"/>
        <w:rPr>
          <w:rFonts w:hint="eastAsia" w:ascii="宋体" w:hAnsi="宋体"/>
          <w:bCs/>
          <w:sz w:val="24"/>
          <w:szCs w:val="24"/>
          <w:lang w:eastAsia="zh-CN"/>
        </w:rPr>
      </w:pPr>
      <w:r>
        <w:rPr>
          <w:rFonts w:hint="eastAsia" w:ascii="宋体" w:hAnsi="宋体"/>
          <w:b/>
          <w:bCs/>
          <w:sz w:val="24"/>
          <w:szCs w:val="24"/>
          <w:lang w:eastAsia="zh-CN"/>
        </w:rPr>
        <w:t xml:space="preserve">第三十条  </w:t>
      </w:r>
      <w:r>
        <w:rPr>
          <w:rFonts w:hint="eastAsia" w:ascii="宋体" w:hAnsi="宋体"/>
          <w:bCs/>
          <w:sz w:val="24"/>
          <w:szCs w:val="24"/>
          <w:lang w:eastAsia="zh-CN"/>
        </w:rPr>
        <w:t>需要配合建设工程进行的考古发掘工作，应当由省、自治区、直辖市文物行政部门在勘探工作的基础上提出发掘计划，报国务院文物行政部门批准。</w:t>
      </w:r>
    </w:p>
    <w:p>
      <w:pPr>
        <w:spacing w:line="360" w:lineRule="auto"/>
        <w:ind w:firstLine="482" w:firstLineChars="200"/>
        <w:rPr>
          <w:rFonts w:hint="eastAsia" w:ascii="宋体" w:hAnsi="宋体"/>
          <w:bCs/>
          <w:sz w:val="24"/>
          <w:szCs w:val="24"/>
          <w:lang w:eastAsia="zh-CN"/>
        </w:rPr>
      </w:pPr>
      <w:r>
        <w:rPr>
          <w:rFonts w:hint="eastAsia" w:ascii="宋体" w:hAnsi="宋体"/>
          <w:b/>
          <w:bCs/>
          <w:sz w:val="24"/>
          <w:szCs w:val="24"/>
          <w:lang w:eastAsia="zh-CN"/>
        </w:rPr>
        <w:t>第三十一条</w:t>
      </w:r>
      <w:r>
        <w:rPr>
          <w:rFonts w:hint="eastAsia" w:ascii="宋体" w:hAnsi="宋体"/>
          <w:bCs/>
          <w:sz w:val="24"/>
          <w:szCs w:val="24"/>
          <w:lang w:eastAsia="zh-CN"/>
        </w:rPr>
        <w:t xml:space="preserve">  凡因进行基本建设和生产建设需要的考古调查、勘探、发掘，所需费用由建设单位列入建设工程预算。</w:t>
      </w:r>
    </w:p>
    <w:p>
      <w:pPr>
        <w:pStyle w:val="2"/>
        <w:rPr>
          <w:rFonts w:hint="eastAsia"/>
          <w:lang w:eastAsia="zh-CN"/>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602" w:firstLineChars="200"/>
        <w:jc w:val="both"/>
        <w:textAlignment w:val="auto"/>
        <w:outlineLvl w:val="9"/>
        <w:rPr>
          <w:rFonts w:hint="eastAsia" w:ascii="楷体" w:hAnsi="楷体" w:eastAsia="楷体" w:cs="楷体"/>
          <w:sz w:val="24"/>
          <w:szCs w:val="24"/>
          <w:lang w:val="en-US" w:eastAsia="zh-CN"/>
        </w:rPr>
      </w:pPr>
      <w:r>
        <w:rPr>
          <w:rFonts w:hint="eastAsia" w:ascii="宋体" w:hAnsi="宋体"/>
          <w:b/>
          <w:bCs w:val="0"/>
          <w:sz w:val="30"/>
          <w:szCs w:val="30"/>
          <w:lang w:val="en-US" w:eastAsia="zh-CN"/>
        </w:rPr>
        <w:t>《广州市文物保护规定》</w:t>
      </w:r>
      <w:r>
        <w:rPr>
          <w:rFonts w:hint="eastAsia" w:ascii="楷体" w:hAnsi="楷体" w:eastAsia="楷体" w:cs="楷体"/>
          <w:kern w:val="0"/>
          <w:sz w:val="24"/>
          <w:szCs w:val="24"/>
          <w:lang w:val="en-US" w:eastAsia="zh-CN"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val="0"/>
          <w:kern w:val="0"/>
          <w:sz w:val="24"/>
          <w:szCs w:val="24"/>
          <w:lang w:val="en-US" w:eastAsia="zh-CN" w:bidi="ar"/>
        </w:rPr>
        <w:t xml:space="preserve">第三十二条 </w:t>
      </w:r>
      <w:r>
        <w:rPr>
          <w:rFonts w:hint="eastAsia" w:ascii="宋体" w:hAnsi="宋体" w:eastAsia="宋体" w:cs="宋体"/>
          <w:kern w:val="0"/>
          <w:sz w:val="24"/>
          <w:szCs w:val="24"/>
          <w:lang w:val="en-US" w:eastAsia="zh-CN" w:bidi="ar"/>
        </w:rPr>
        <w:t>在地下文物埋藏区进行工程建设或者在地下文物埋藏区以外进行大型工程建设前，应当按照下列规定进行考古调查、勘探、发掘：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（一）属于出让国有建设用地使用权的，在出让该地块前，应当进行考古调查、勘探，所需经费按财政分级的原则，分别在市文物保护专项资金中安排或者由区财政承担；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（二）属于划拨国有建设用地使用权的，应当在工程项目建议书或者可行性研究阶段进行考古调查、勘探，所需经费由市财政承担；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（三）本规定生效之前已经取得土地使用权，但尚未进行考古调查、勘探的，建设单位应当依法申请考古调查、勘探，所需经费由市财政承担。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未按照前款第（一）项或者第（二）项规定进行考古调查、勘探的，不得出让或者划拨土地。未按照前款第（三）项规定进行考古调查、勘探的，建设单位不得开工建设。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第三十三条</w:t>
      </w:r>
      <w:r>
        <w:rPr>
          <w:rFonts w:hint="eastAsia" w:ascii="宋体" w:hAnsi="宋体" w:eastAsia="宋体" w:cs="宋体"/>
          <w:kern w:val="0"/>
          <w:sz w:val="24"/>
          <w:szCs w:val="24"/>
          <w:lang w:val="en-US" w:eastAsia="zh-CN" w:bidi="ar"/>
        </w:rPr>
        <w:t xml:space="preserve"> 本规定第三十二条规定的大型建设工程包括下列工程：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（一）在越秀区、海珠区、荔湾区、天河区、白云区辖区内进行的建设工程项目，占地面积一万平方米以上；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（二）在花都区、番禺区、南沙区、黄埔区、从化区、增城区辖区内进行的建设工程项目，占地面积三万平方米以上；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（三）在本市行政区域内新建或者扩建道路、桥梁、高速路、地铁、管网等重大线形工程。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第三十四条</w:t>
      </w:r>
      <w:r>
        <w:rPr>
          <w:rFonts w:hint="eastAsia" w:ascii="宋体" w:hAnsi="宋体" w:eastAsia="宋体" w:cs="宋体"/>
          <w:kern w:val="0"/>
          <w:sz w:val="24"/>
          <w:szCs w:val="24"/>
          <w:lang w:val="en-US" w:eastAsia="zh-CN"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在文物行政主管部门提出处理意见前，任何单位和个人不得破坏现场。经文物行政主管部门确认需要保留的不可移动文物，任何单位和个人不得损毁或者改变文物原状。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第三十五条</w:t>
      </w:r>
      <w:r>
        <w:rPr>
          <w:rFonts w:hint="eastAsia" w:ascii="宋体" w:hAnsi="宋体" w:eastAsia="宋体" w:cs="宋体"/>
          <w:kern w:val="0"/>
          <w:sz w:val="24"/>
          <w:szCs w:val="24"/>
          <w:lang w:val="en-US" w:eastAsia="zh-CN" w:bidi="ar"/>
        </w:rPr>
        <w:t xml:space="preserve"> 经文物考古调查、勘探，发掘出重要文物的区域，文物行政主管部门可以会同规划行政管理部门划定临时禁止建设区。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第四十三条 </w:t>
      </w:r>
      <w:r>
        <w:rPr>
          <w:rFonts w:hint="eastAsia" w:ascii="宋体" w:hAnsi="宋体" w:eastAsia="宋体" w:cs="宋体"/>
          <w:kern w:val="0"/>
          <w:sz w:val="24"/>
          <w:szCs w:val="24"/>
          <w:lang w:val="en-US" w:eastAsia="zh-CN" w:bidi="ar"/>
        </w:rPr>
        <w:t>文物行政主管部门、文物执法机构或者其他行政管理部门及其 工作人员有下列行为之一的，由任免机关或者监察机关责令改正；造成严重后果 的，由任免机关或者监察机关对负有责任的主管人员和其他直接责任人员给予处分：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（一）违反本规定第五条第三款规定，未定期对文物保护单位进行巡查的；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（二）违反本规定第九条规定，未按照规定用途使用文物保护专项资金或者未在规定期限内将使用情况向社会公布的；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（三）违反本规定第二十五条规定，未在规定期限内划出并公布文物保护单位的建设控制地带的；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（四）违反本规定第二十六条规定，未在规定期限内划出临时保护范围或者临时建设控制地带的；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（五）违反本规定第二十九条第一款规定，规划行政管理部门在编制城乡规划时，涉及不可移动文物或者地下埋藏区未征求文物行政主管部门的意见或者文物行政主管部门未在规定期限内答复的；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（六）违反本规定第三十条第一款规定，未组织编制文物保护单位的保护规划的；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（七）违反本规定第三十条第二款规定，未将已批准的文物保护单位的保护规划、保护范围和建设控制地带以及地下文物埋藏区的保护控制要求纳入城市控制性详细规划的；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（八）违反本规定第三十二条规定，出让或者划拨未进行考古调查、勘探的国有建设用地使用权的；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（九）违反本规定第三十九条规定，不前往现场予以协助的；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（十）其他滥用职权、玩忽职守、徇私舞弊的。 </w:t>
      </w:r>
    </w:p>
    <w:p>
      <w:pPr>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both"/>
        <w:textAlignment w:val="auto"/>
        <w:outlineLvl w:val="9"/>
        <w:rPr>
          <w:rFonts w:hint="eastAsia" w:ascii="宋体" w:hAnsi="宋体" w:eastAsia="宋体" w:cs="宋体"/>
          <w:b w:val="0"/>
          <w:bCs/>
          <w:kern w:val="0"/>
          <w:sz w:val="24"/>
          <w:szCs w:val="24"/>
          <w:lang w:val="en-US" w:eastAsia="zh-CN" w:bidi="ar"/>
        </w:rPr>
      </w:pPr>
      <w:r>
        <w:rPr>
          <w:rFonts w:hint="eastAsia" w:ascii="宋体" w:hAnsi="宋体" w:eastAsia="宋体" w:cs="宋体"/>
          <w:b/>
          <w:bCs w:val="0"/>
          <w:kern w:val="0"/>
          <w:sz w:val="24"/>
          <w:szCs w:val="24"/>
          <w:lang w:val="en-US" w:eastAsia="zh-CN" w:bidi="ar"/>
        </w:rPr>
        <w:t xml:space="preserve">第四十七条 </w:t>
      </w:r>
      <w:r>
        <w:rPr>
          <w:rFonts w:hint="eastAsia" w:ascii="宋体" w:hAnsi="宋体" w:eastAsia="宋体" w:cs="宋体"/>
          <w:b w:val="0"/>
          <w:bCs/>
          <w:kern w:val="0"/>
          <w:sz w:val="24"/>
          <w:szCs w:val="24"/>
          <w:lang w:val="en-US" w:eastAsia="zh-CN" w:bidi="ar"/>
        </w:rPr>
        <w:t>违反本规定第三十二条第二款规定，未经文物考古调查、勘探擅自开工建设的，由文物执法机构责令停止施工限期办理文物考古调查、勘探手续，逾期不办理手续，造成严重后果的，处以十万元以上五十万元以下罚款。</w:t>
      </w: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pStyle w:val="6"/>
        <w:widowControl/>
        <w:spacing w:before="0" w:after="0" w:line="360" w:lineRule="auto"/>
        <w:ind w:left="0" w:leftChars="0" w:firstLine="0" w:firstLineChars="0"/>
        <w:jc w:val="both"/>
        <w:rPr>
          <w:rFonts w:hint="eastAsia" w:ascii="宋体" w:hAnsi="宋体" w:cs="仿宋_GB2312"/>
          <w:sz w:val="24"/>
          <w:szCs w:val="24"/>
          <w:lang w:eastAsia="zh-CN"/>
        </w:rPr>
      </w:pPr>
      <w:bookmarkStart w:id="88" w:name="_Toc28521"/>
      <w:bookmarkStart w:id="89" w:name="_Toc20277"/>
      <w:bookmarkStart w:id="90" w:name="_Toc16965"/>
      <w:bookmarkStart w:id="91" w:name="_Toc15123"/>
      <w:bookmarkStart w:id="92" w:name="_Toc763"/>
      <w:bookmarkStart w:id="93" w:name="_Toc25996"/>
      <w:r>
        <w:rPr>
          <w:rFonts w:hint="eastAsia"/>
          <w:color w:val="auto"/>
          <w:sz w:val="28"/>
          <w:lang w:eastAsia="zh-CN" w:bidi="en-US"/>
        </w:rPr>
        <w:t>附录</w:t>
      </w:r>
      <w:bookmarkEnd w:id="88"/>
      <w:r>
        <w:rPr>
          <w:rFonts w:hint="eastAsia"/>
          <w:color w:val="auto"/>
          <w:sz w:val="28"/>
          <w:lang w:val="en-US" w:eastAsia="zh-CN" w:bidi="en-US"/>
        </w:rPr>
        <w:t>四</w:t>
      </w:r>
      <w:bookmarkStart w:id="94" w:name="_Toc31772"/>
      <w:bookmarkStart w:id="95" w:name="_Toc26181"/>
      <w:bookmarkStart w:id="96" w:name="_Toc29478"/>
      <w:bookmarkStart w:id="97" w:name="_Toc16081"/>
      <w:bookmarkStart w:id="98" w:name="_Toc28088"/>
      <w:r>
        <w:rPr>
          <w:rFonts w:hint="eastAsia"/>
          <w:color w:val="auto"/>
          <w:sz w:val="28"/>
          <w:lang w:val="en-US" w:eastAsia="zh-CN" w:bidi="en-US"/>
        </w:rPr>
        <w:t xml:space="preserve">  </w:t>
      </w:r>
      <w:r>
        <w:rPr>
          <w:rFonts w:hint="eastAsia"/>
          <w:color w:val="auto"/>
          <w:sz w:val="28"/>
          <w:lang w:eastAsia="zh-CN" w:bidi="en-US"/>
        </w:rPr>
        <w:t>关于本报告使用的专业术语、概念和标准的说明</w:t>
      </w:r>
      <w:bookmarkEnd w:id="89"/>
      <w:bookmarkEnd w:id="90"/>
      <w:bookmarkEnd w:id="91"/>
      <w:bookmarkEnd w:id="92"/>
      <w:bookmarkEnd w:id="93"/>
      <w:bookmarkEnd w:id="94"/>
      <w:bookmarkEnd w:id="95"/>
      <w:bookmarkEnd w:id="96"/>
      <w:bookmarkEnd w:id="97"/>
      <w:bookmarkEnd w:id="98"/>
    </w:p>
    <w:p>
      <w:pPr>
        <w:widowControl w:val="0"/>
        <w:autoSpaceDE w:val="0"/>
        <w:autoSpaceDN w:val="0"/>
        <w:spacing w:line="360" w:lineRule="auto"/>
        <w:ind w:firstLine="480" w:firstLineChars="200"/>
        <w:jc w:val="both"/>
        <w:rPr>
          <w:rFonts w:ascii="宋体" w:hAnsi="宋体"/>
          <w:sz w:val="24"/>
          <w:szCs w:val="24"/>
          <w:lang w:eastAsia="zh-CN"/>
        </w:rPr>
      </w:pPr>
      <w:r>
        <w:rPr>
          <w:rFonts w:hint="eastAsia" w:ascii="宋体" w:hAnsi="宋体" w:cs="仿宋_GB2312"/>
          <w:sz w:val="24"/>
          <w:szCs w:val="24"/>
          <w:lang w:eastAsia="zh-CN"/>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pPr>
        <w:widowControl w:val="0"/>
        <w:autoSpaceDE w:val="0"/>
        <w:autoSpaceDN w:val="0"/>
        <w:spacing w:line="360" w:lineRule="auto"/>
        <w:ind w:firstLine="482"/>
        <w:rPr>
          <w:rFonts w:ascii="宋体" w:hAnsi="宋体"/>
          <w:b/>
          <w:bCs/>
          <w:sz w:val="24"/>
          <w:szCs w:val="24"/>
          <w:lang w:eastAsia="zh-CN"/>
        </w:rPr>
      </w:pPr>
      <w:r>
        <w:rPr>
          <w:rFonts w:ascii="宋体" w:hAnsi="宋体" w:cs="仿宋_GB2312"/>
          <w:b/>
          <w:bCs/>
          <w:sz w:val="24"/>
          <w:szCs w:val="24"/>
          <w:lang w:eastAsia="zh-CN"/>
        </w:rPr>
        <w:t>1.</w:t>
      </w:r>
      <w:r>
        <w:rPr>
          <w:rFonts w:hint="eastAsia" w:ascii="宋体" w:hAnsi="宋体" w:cs="仿宋_GB2312"/>
          <w:b/>
          <w:bCs/>
          <w:sz w:val="24"/>
          <w:szCs w:val="24"/>
          <w:lang w:eastAsia="zh-CN"/>
        </w:rPr>
        <w:t>本报告采用的田野考古专业术语：</w:t>
      </w:r>
    </w:p>
    <w:p>
      <w:pPr>
        <w:widowControl w:val="0"/>
        <w:autoSpaceDE w:val="0"/>
        <w:autoSpaceDN w:val="0"/>
        <w:spacing w:line="360" w:lineRule="auto"/>
        <w:ind w:firstLine="480" w:firstLineChars="200"/>
        <w:jc w:val="both"/>
        <w:rPr>
          <w:rFonts w:ascii="宋体" w:hAnsi="宋体"/>
          <w:sz w:val="24"/>
          <w:szCs w:val="24"/>
          <w:lang w:eastAsia="zh-CN"/>
        </w:rPr>
      </w:pPr>
      <w:r>
        <w:rPr>
          <w:rFonts w:hint="eastAsia" w:ascii="宋体" w:hAnsi="宋体" w:cs="仿宋_GB2312"/>
          <w:sz w:val="24"/>
          <w:szCs w:val="24"/>
          <w:lang w:eastAsia="zh-CN"/>
        </w:rPr>
        <w:t>考古调查指地面踏查和自然断面的考古学观察。考古勘探由普探和重探组成。考古普探指采用每平方米布孔</w:t>
      </w:r>
      <w:r>
        <w:rPr>
          <w:rFonts w:ascii="宋体" w:hAnsi="宋体" w:cs="仿宋_GB2312"/>
          <w:sz w:val="24"/>
          <w:szCs w:val="24"/>
          <w:lang w:eastAsia="zh-CN"/>
        </w:rPr>
        <w:t>5</w:t>
      </w:r>
      <w:r>
        <w:rPr>
          <w:rFonts w:hint="eastAsia" w:ascii="宋体" w:hAnsi="宋体" w:cs="仿宋_GB2312"/>
          <w:sz w:val="24"/>
          <w:szCs w:val="24"/>
          <w:lang w:eastAsia="zh-CN"/>
        </w:rPr>
        <w:t>个的梅花点布孔法而进行的勘探工作，所用工具为探铲（</w:t>
      </w:r>
      <w:r>
        <w:rPr>
          <w:rFonts w:hint="eastAsia" w:ascii="宋体" w:hAnsi="宋体" w:cs="仿宋_GB2312"/>
          <w:sz w:val="24"/>
          <w:szCs w:val="24"/>
          <w:lang w:val="en-US" w:eastAsia="zh-CN"/>
        </w:rPr>
        <w:t>洛阳铲</w:t>
      </w:r>
      <w:r>
        <w:rPr>
          <w:rFonts w:hint="eastAsia" w:ascii="宋体" w:hAnsi="宋体" w:cs="仿宋_GB2312"/>
          <w:sz w:val="24"/>
          <w:szCs w:val="24"/>
          <w:lang w:eastAsia="zh-CN"/>
        </w:rPr>
        <w:t>）。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cs="仿宋_GB2312"/>
          <w:sz w:val="24"/>
          <w:szCs w:val="24"/>
          <w:lang w:eastAsia="zh-CN"/>
        </w:rPr>
        <w:t>4</w:t>
      </w:r>
      <w:r>
        <w:rPr>
          <w:rFonts w:hint="eastAsia" w:ascii="宋体" w:hAnsi="宋体" w:cs="仿宋_GB2312"/>
          <w:sz w:val="24"/>
          <w:szCs w:val="24"/>
          <w:lang w:eastAsia="zh-CN"/>
        </w:rPr>
        <w:t>位年</w:t>
      </w:r>
      <w:r>
        <w:rPr>
          <w:rFonts w:ascii="宋体" w:hAnsi="宋体" w:cs="仿宋_GB2312"/>
          <w:sz w:val="24"/>
          <w:szCs w:val="24"/>
          <w:lang w:eastAsia="zh-CN"/>
        </w:rPr>
        <w:t>/</w:t>
      </w:r>
      <w:r>
        <w:rPr>
          <w:rFonts w:hint="eastAsia" w:ascii="宋体" w:hAnsi="宋体" w:cs="仿宋_GB2312"/>
          <w:sz w:val="24"/>
          <w:szCs w:val="24"/>
          <w:lang w:eastAsia="zh-CN"/>
        </w:rPr>
        <w:t>地名代码</w:t>
      </w:r>
      <w:r>
        <w:rPr>
          <w:rFonts w:ascii="宋体" w:hAnsi="宋体" w:cs="仿宋_GB2312"/>
          <w:sz w:val="24"/>
          <w:szCs w:val="24"/>
          <w:lang w:eastAsia="zh-CN"/>
        </w:rPr>
        <w:t>/</w:t>
      </w:r>
      <w:r>
        <w:rPr>
          <w:rFonts w:hint="eastAsia" w:ascii="宋体" w:hAnsi="宋体" w:cs="仿宋_GB2312"/>
          <w:sz w:val="24"/>
          <w:szCs w:val="24"/>
          <w:lang w:eastAsia="zh-CN"/>
        </w:rPr>
        <w:t>单位代码</w:t>
      </w:r>
      <w:r>
        <w:rPr>
          <w:rFonts w:ascii="宋体" w:hAnsi="宋体" w:cs="仿宋_GB2312"/>
          <w:sz w:val="24"/>
          <w:szCs w:val="24"/>
          <w:lang w:eastAsia="zh-CN"/>
        </w:rPr>
        <w:t>/</w:t>
      </w:r>
      <w:r>
        <w:rPr>
          <w:rFonts w:hint="eastAsia" w:ascii="宋体" w:hAnsi="宋体" w:cs="仿宋_GB2312"/>
          <w:sz w:val="24"/>
          <w:szCs w:val="24"/>
          <w:lang w:eastAsia="zh-CN"/>
        </w:rPr>
        <w:t>顺序号”。单位代码中“</w:t>
      </w:r>
      <w:r>
        <w:rPr>
          <w:rFonts w:ascii="宋体" w:hAnsi="宋体" w:cs="仿宋_GB2312"/>
          <w:sz w:val="24"/>
          <w:szCs w:val="24"/>
          <w:lang w:eastAsia="zh-CN"/>
        </w:rPr>
        <w:t>T</w:t>
      </w:r>
      <w:r>
        <w:rPr>
          <w:rFonts w:hint="eastAsia" w:ascii="宋体" w:hAnsi="宋体" w:cs="仿宋_GB2312"/>
          <w:sz w:val="24"/>
          <w:szCs w:val="24"/>
          <w:lang w:eastAsia="zh-CN"/>
        </w:rPr>
        <w:t>”表示探方或探沟，“</w:t>
      </w:r>
      <w:r>
        <w:rPr>
          <w:rFonts w:ascii="宋体" w:hAnsi="宋体" w:cs="仿宋_GB2312"/>
          <w:sz w:val="24"/>
          <w:szCs w:val="24"/>
          <w:lang w:eastAsia="zh-CN"/>
        </w:rPr>
        <w:t>M</w:t>
      </w:r>
      <w:r>
        <w:rPr>
          <w:rFonts w:hint="eastAsia" w:ascii="宋体" w:hAnsi="宋体" w:cs="仿宋_GB2312"/>
          <w:sz w:val="24"/>
          <w:szCs w:val="24"/>
          <w:lang w:eastAsia="zh-CN"/>
        </w:rPr>
        <w:t>”表示墓葬，“</w:t>
      </w:r>
      <w:r>
        <w:rPr>
          <w:rFonts w:ascii="宋体" w:hAnsi="宋体" w:cs="仿宋_GB2312"/>
          <w:sz w:val="24"/>
          <w:szCs w:val="24"/>
          <w:lang w:eastAsia="zh-CN"/>
        </w:rPr>
        <w:t>H</w:t>
      </w:r>
      <w:r>
        <w:rPr>
          <w:rFonts w:hint="eastAsia" w:ascii="宋体" w:hAnsi="宋体" w:cs="仿宋_GB2312"/>
          <w:sz w:val="24"/>
          <w:szCs w:val="24"/>
          <w:lang w:eastAsia="zh-CN"/>
        </w:rPr>
        <w:t>”表示灰坑，“</w:t>
      </w:r>
      <w:r>
        <w:rPr>
          <w:rFonts w:ascii="宋体" w:hAnsi="宋体" w:cs="仿宋_GB2312"/>
          <w:sz w:val="24"/>
          <w:szCs w:val="24"/>
          <w:lang w:eastAsia="zh-CN"/>
        </w:rPr>
        <w:t>Y</w:t>
      </w:r>
      <w:r>
        <w:rPr>
          <w:rFonts w:hint="eastAsia" w:ascii="宋体" w:hAnsi="宋体" w:cs="仿宋_GB2312"/>
          <w:sz w:val="24"/>
          <w:szCs w:val="24"/>
          <w:lang w:eastAsia="zh-CN"/>
        </w:rPr>
        <w:t>”表示窑，“</w:t>
      </w:r>
      <w:r>
        <w:rPr>
          <w:rFonts w:ascii="宋体" w:hAnsi="宋体" w:cs="仿宋_GB2312"/>
          <w:sz w:val="24"/>
          <w:szCs w:val="24"/>
          <w:lang w:eastAsia="zh-CN"/>
        </w:rPr>
        <w:t>F</w:t>
      </w:r>
      <w:r>
        <w:rPr>
          <w:rFonts w:hint="eastAsia" w:ascii="宋体" w:hAnsi="宋体" w:cs="仿宋_GB2312"/>
          <w:sz w:val="24"/>
          <w:szCs w:val="24"/>
          <w:lang w:eastAsia="zh-CN"/>
        </w:rPr>
        <w:t>”表示房屋，“</w:t>
      </w:r>
      <w:r>
        <w:rPr>
          <w:rFonts w:ascii="宋体" w:hAnsi="宋体" w:cs="仿宋_GB2312"/>
          <w:sz w:val="24"/>
          <w:szCs w:val="24"/>
          <w:lang w:eastAsia="zh-CN"/>
        </w:rPr>
        <w:t>L</w:t>
      </w:r>
      <w:r>
        <w:rPr>
          <w:rFonts w:hint="eastAsia" w:ascii="宋体" w:hAnsi="宋体" w:cs="仿宋_GB2312"/>
          <w:sz w:val="24"/>
          <w:szCs w:val="24"/>
          <w:lang w:eastAsia="zh-CN"/>
        </w:rPr>
        <w:t>”表示路等。地形条件不同或范围较大区域的考古勘探、试掘、发掘分工作区进行。工作区常以象限法或据地形地貌特征进行划分，编号为罗马数字Ⅰ、Ⅱ、Ⅲ、Ⅳ等。</w:t>
      </w:r>
    </w:p>
    <w:p>
      <w:pPr>
        <w:widowControl w:val="0"/>
        <w:autoSpaceDE w:val="0"/>
        <w:autoSpaceDN w:val="0"/>
        <w:spacing w:line="360" w:lineRule="auto"/>
        <w:ind w:firstLine="482"/>
        <w:jc w:val="both"/>
        <w:rPr>
          <w:rFonts w:ascii="宋体" w:hAnsi="宋体"/>
          <w:b/>
          <w:bCs/>
          <w:sz w:val="24"/>
          <w:szCs w:val="24"/>
          <w:lang w:eastAsia="zh-CN"/>
        </w:rPr>
      </w:pPr>
      <w:r>
        <w:rPr>
          <w:rFonts w:ascii="宋体" w:hAnsi="宋体" w:cs="仿宋_GB2312"/>
          <w:b/>
          <w:bCs/>
          <w:sz w:val="24"/>
          <w:szCs w:val="24"/>
          <w:lang w:eastAsia="zh-CN"/>
        </w:rPr>
        <w:t>2</w:t>
      </w:r>
      <w:r>
        <w:rPr>
          <w:rFonts w:hint="eastAsia" w:ascii="宋体" w:hAnsi="宋体" w:cs="仿宋_GB2312"/>
          <w:b/>
          <w:bCs/>
          <w:sz w:val="24"/>
          <w:szCs w:val="24"/>
          <w:lang w:eastAsia="zh-CN"/>
        </w:rPr>
        <w:t>．本报告采用的文物标识名称：</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遗物点：</w:t>
      </w:r>
      <w:r>
        <w:rPr>
          <w:rFonts w:hint="eastAsia" w:ascii="宋体" w:hAnsi="宋体" w:cs="仿宋_GB2312"/>
          <w:sz w:val="24"/>
          <w:szCs w:val="24"/>
          <w:lang w:eastAsia="zh-CN"/>
        </w:rPr>
        <w:t>地面虽有零星文化遗物分布，但遗物分布面积狭小，且无明显相关文化层堆积或其它相关遗存的地点。</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遗址或墓葬（具备以下条件之一）：</w:t>
      </w:r>
      <w:r>
        <w:rPr>
          <w:rFonts w:hint="eastAsia" w:ascii="宋体" w:hAnsi="宋体" w:cs="仿宋_GB2312"/>
          <w:sz w:val="24"/>
          <w:szCs w:val="24"/>
          <w:lang w:eastAsia="zh-CN"/>
        </w:rPr>
        <w:t>文化遗物丰富；文化遗物分布面积宽广；有明显文化层堆积或遗迹、墓葬露头。</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疑点：</w:t>
      </w:r>
      <w:r>
        <w:rPr>
          <w:rFonts w:hint="eastAsia" w:ascii="宋体" w:hAnsi="宋体" w:cs="仿宋_GB2312"/>
          <w:sz w:val="24"/>
          <w:szCs w:val="24"/>
          <w:lang w:eastAsia="zh-CN"/>
        </w:rPr>
        <w:t>没有发现文化遗存但有其它文物线索、值得关注的地点，如有相关文献记载，有与人类活动可能有关的自然遗物分布等。</w:t>
      </w:r>
    </w:p>
    <w:p>
      <w:pPr>
        <w:widowControl w:val="0"/>
        <w:autoSpaceDE w:val="0"/>
        <w:autoSpaceDN w:val="0"/>
        <w:spacing w:line="360" w:lineRule="auto"/>
        <w:ind w:firstLine="482"/>
        <w:jc w:val="both"/>
        <w:rPr>
          <w:rFonts w:ascii="宋体" w:hAnsi="宋体"/>
          <w:b/>
          <w:bCs/>
          <w:sz w:val="24"/>
          <w:szCs w:val="24"/>
          <w:lang w:eastAsia="zh-CN"/>
        </w:rPr>
      </w:pPr>
      <w:r>
        <w:rPr>
          <w:rFonts w:ascii="宋体" w:hAnsi="宋体" w:cs="仿宋_GB2312"/>
          <w:b/>
          <w:bCs/>
          <w:sz w:val="24"/>
          <w:szCs w:val="24"/>
          <w:lang w:eastAsia="zh-CN"/>
        </w:rPr>
        <w:t>3</w:t>
      </w:r>
      <w:r>
        <w:rPr>
          <w:rFonts w:hint="eastAsia" w:ascii="宋体" w:hAnsi="宋体" w:cs="仿宋_GB2312"/>
          <w:b/>
          <w:bCs/>
          <w:sz w:val="24"/>
          <w:szCs w:val="24"/>
          <w:lang w:eastAsia="zh-CN"/>
        </w:rPr>
        <w:t>．各类遗存的处理标准（施工建议）：</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1</w:t>
      </w:r>
      <w:r>
        <w:rPr>
          <w:rFonts w:hint="eastAsia" w:ascii="宋体" w:hAnsi="宋体" w:cs="仿宋_GB2312"/>
          <w:b/>
          <w:bCs/>
          <w:sz w:val="24"/>
          <w:szCs w:val="24"/>
          <w:lang w:eastAsia="zh-CN"/>
        </w:rPr>
        <w:t>）遗物点：</w:t>
      </w:r>
      <w:r>
        <w:rPr>
          <w:rFonts w:hint="eastAsia" w:ascii="宋体" w:hAnsi="宋体" w:cs="仿宋_GB2312"/>
          <w:sz w:val="24"/>
          <w:szCs w:val="24"/>
          <w:lang w:eastAsia="zh-CN"/>
        </w:rPr>
        <w:t>合同中已涉及的小型遗址和小型墓葬，属于本项考古工作的组成部分，不另做发掘计划，但在施工中需特别注意。</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2</w:t>
      </w:r>
      <w:r>
        <w:rPr>
          <w:rFonts w:hint="eastAsia" w:ascii="宋体" w:hAnsi="宋体" w:cs="仿宋_GB2312"/>
          <w:b/>
          <w:bCs/>
          <w:sz w:val="24"/>
          <w:szCs w:val="24"/>
          <w:lang w:eastAsia="zh-CN"/>
        </w:rPr>
        <w:t>）其它遗存（遗址、墓地、古建筑）实行分级处理。</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遗存文物价值分</w:t>
      </w:r>
      <w:r>
        <w:rPr>
          <w:rFonts w:ascii="宋体" w:hAnsi="宋体" w:cs="仿宋_GB2312"/>
          <w:b/>
          <w:bCs/>
          <w:sz w:val="24"/>
          <w:szCs w:val="24"/>
          <w:lang w:eastAsia="zh-CN"/>
        </w:rPr>
        <w:t>3</w:t>
      </w:r>
      <w:r>
        <w:rPr>
          <w:rFonts w:hint="eastAsia" w:ascii="宋体" w:hAnsi="宋体" w:cs="仿宋_GB2312"/>
          <w:b/>
          <w:bCs/>
          <w:sz w:val="24"/>
          <w:szCs w:val="24"/>
          <w:lang w:eastAsia="zh-CN"/>
        </w:rPr>
        <w:t>级：</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特别重要。指可以填补科研缺环、空白，或者和重大历史事件、重要历史人物有关及其它具有特别科研价值的遗存。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重要。指具有较高科研价值且时代一般早于明代的遗址或墓地、具有较高科研价值且时代一般早于</w:t>
      </w:r>
      <w:r>
        <w:rPr>
          <w:rFonts w:ascii="宋体" w:hAnsi="宋体" w:cs="仿宋_GB2312"/>
          <w:sz w:val="24"/>
          <w:szCs w:val="24"/>
          <w:lang w:eastAsia="zh-CN"/>
        </w:rPr>
        <w:t>1911</w:t>
      </w:r>
      <w:r>
        <w:rPr>
          <w:rFonts w:hint="eastAsia" w:ascii="宋体" w:hAnsi="宋体" w:cs="仿宋_GB2312"/>
          <w:sz w:val="24"/>
          <w:szCs w:val="24"/>
          <w:lang w:eastAsia="zh-CN"/>
        </w:rPr>
        <w:t>年的古建筑。</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一般。指具有一定科研价值且时代一般在明代及其以后的遗址或墓地、时代虽晚于</w:t>
      </w:r>
      <w:r>
        <w:rPr>
          <w:rFonts w:ascii="宋体" w:hAnsi="宋体" w:cs="仿宋_GB2312"/>
          <w:sz w:val="24"/>
          <w:szCs w:val="24"/>
          <w:lang w:eastAsia="zh-CN"/>
        </w:rPr>
        <w:t>1911</w:t>
      </w:r>
      <w:r>
        <w:rPr>
          <w:rFonts w:hint="eastAsia" w:ascii="宋体" w:hAnsi="宋体" w:cs="仿宋_GB2312"/>
          <w:sz w:val="24"/>
          <w:szCs w:val="24"/>
          <w:lang w:eastAsia="zh-CN"/>
        </w:rPr>
        <w:t>年但具有一定科研价值和代表性的建筑。</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遗存保存状况分</w:t>
      </w:r>
      <w:r>
        <w:rPr>
          <w:rFonts w:ascii="宋体" w:hAnsi="宋体" w:cs="仿宋_GB2312"/>
          <w:b/>
          <w:bCs/>
          <w:sz w:val="24"/>
          <w:szCs w:val="24"/>
          <w:lang w:eastAsia="zh-CN"/>
        </w:rPr>
        <w:t>3</w:t>
      </w:r>
      <w:r>
        <w:rPr>
          <w:rFonts w:hint="eastAsia" w:ascii="宋体" w:hAnsi="宋体" w:cs="仿宋_GB2312"/>
          <w:b/>
          <w:bCs/>
          <w:sz w:val="24"/>
          <w:szCs w:val="24"/>
          <w:lang w:eastAsia="zh-CN"/>
        </w:rPr>
        <w:t>级：</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保存良好。</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保存一般。</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保存较差。</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遗存级别由其文物价值和保存状况组成，分</w:t>
      </w:r>
      <w:r>
        <w:rPr>
          <w:rFonts w:ascii="宋体" w:hAnsi="宋体" w:cs="仿宋_GB2312"/>
          <w:b/>
          <w:bCs/>
          <w:sz w:val="24"/>
          <w:szCs w:val="24"/>
          <w:lang w:eastAsia="zh-CN"/>
        </w:rPr>
        <w:t>9</w:t>
      </w:r>
      <w:r>
        <w:rPr>
          <w:rFonts w:hint="eastAsia" w:ascii="宋体" w:hAnsi="宋体" w:cs="仿宋_GB2312"/>
          <w:b/>
          <w:bCs/>
          <w:sz w:val="24"/>
          <w:szCs w:val="24"/>
          <w:lang w:eastAsia="zh-CN"/>
        </w:rPr>
        <w:t>级：</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AA </w:t>
      </w:r>
      <w:r>
        <w:rPr>
          <w:rFonts w:hint="eastAsia" w:ascii="宋体" w:hAnsi="宋体" w:cs="仿宋_GB2312"/>
          <w:b/>
          <w:bCs/>
          <w:sz w:val="24"/>
          <w:szCs w:val="24"/>
          <w:lang w:eastAsia="zh-CN"/>
        </w:rPr>
        <w:t>级：</w:t>
      </w:r>
      <w:r>
        <w:rPr>
          <w:rFonts w:hint="eastAsia" w:ascii="宋体" w:hAnsi="宋体" w:cs="仿宋_GB2312"/>
          <w:sz w:val="24"/>
          <w:szCs w:val="24"/>
          <w:lang w:eastAsia="zh-CN"/>
        </w:rPr>
        <w:t>建议改线（改点），对遗存做原址原状保护。无法改线（改点）者，必须全面发掘或古建筑测绘，根据发掘、测绘情况确定施工方案。</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AB </w:t>
      </w:r>
      <w:r>
        <w:rPr>
          <w:rFonts w:hint="eastAsia" w:ascii="宋体" w:hAnsi="宋体" w:cs="仿宋_GB2312"/>
          <w:b/>
          <w:bCs/>
          <w:sz w:val="24"/>
          <w:szCs w:val="24"/>
          <w:lang w:eastAsia="zh-CN"/>
        </w:rPr>
        <w:t>级：</w:t>
      </w:r>
      <w:r>
        <w:rPr>
          <w:rFonts w:hint="eastAsia" w:ascii="宋体" w:hAnsi="宋体" w:cs="仿宋_GB2312"/>
          <w:sz w:val="24"/>
          <w:szCs w:val="24"/>
          <w:lang w:eastAsia="zh-CN"/>
        </w:rPr>
        <w:t>全面发掘或大范围发掘（发掘面积大于施工涉及面积的一半）和古建筑测绘，根据发掘、测绘情况确定施工方案。</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AC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BA </w:t>
      </w:r>
      <w:r>
        <w:rPr>
          <w:rFonts w:hint="eastAsia" w:ascii="宋体" w:hAnsi="宋体" w:cs="仿宋_GB2312"/>
          <w:b/>
          <w:bCs/>
          <w:sz w:val="24"/>
          <w:szCs w:val="24"/>
          <w:lang w:eastAsia="zh-CN"/>
        </w:rPr>
        <w:t>级：</w:t>
      </w:r>
      <w:r>
        <w:rPr>
          <w:rFonts w:hint="eastAsia" w:ascii="宋体" w:hAnsi="宋体" w:cs="仿宋_GB2312"/>
          <w:sz w:val="24"/>
          <w:szCs w:val="24"/>
          <w:lang w:eastAsia="zh-CN"/>
        </w:rPr>
        <w:t>大范围发掘（发掘面积大于施工涉及面积的一半）和古建测绘，根据发掘、测绘情况确定施工方案。</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BB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BC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CA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CB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spacing w:line="360" w:lineRule="auto"/>
        <w:ind w:firstLine="482" w:firstLineChars="200"/>
        <w:rPr>
          <w:rFonts w:hint="eastAsia" w:ascii="宋体" w:hAnsi="宋体" w:cs="仿宋_GB2312"/>
          <w:sz w:val="24"/>
          <w:szCs w:val="24"/>
          <w:lang w:eastAsia="zh-CN"/>
        </w:rPr>
      </w:pPr>
      <w:r>
        <w:rPr>
          <w:rFonts w:ascii="宋体" w:hAnsi="宋体" w:cs="仿宋_GB2312"/>
          <w:b/>
          <w:bCs/>
          <w:sz w:val="24"/>
          <w:szCs w:val="24"/>
          <w:lang w:eastAsia="zh-CN"/>
        </w:rPr>
        <w:t xml:space="preserve">CC </w:t>
      </w:r>
      <w:r>
        <w:rPr>
          <w:rFonts w:hint="eastAsia" w:ascii="宋体" w:hAnsi="宋体" w:cs="仿宋_GB2312"/>
          <w:b/>
          <w:bCs/>
          <w:sz w:val="24"/>
          <w:szCs w:val="24"/>
          <w:lang w:eastAsia="zh-CN"/>
        </w:rPr>
        <w:t>级：</w:t>
      </w:r>
      <w:r>
        <w:rPr>
          <w:rFonts w:hint="eastAsia" w:ascii="宋体" w:hAnsi="宋体" w:cs="仿宋_GB2312"/>
          <w:sz w:val="24"/>
          <w:szCs w:val="24"/>
          <w:lang w:eastAsia="zh-CN"/>
        </w:rPr>
        <w:t>不发掘。</w:t>
      </w:r>
    </w:p>
    <w:p>
      <w:pPr>
        <w:spacing w:line="360" w:lineRule="auto"/>
        <w:ind w:firstLine="480" w:firstLineChars="200"/>
        <w:rPr>
          <w:rFonts w:ascii="宋体" w:hAnsi="宋体"/>
          <w:sz w:val="24"/>
          <w:szCs w:val="24"/>
        </w:rPr>
      </w:pPr>
      <w:r>
        <w:rPr>
          <w:rFonts w:hint="eastAsia" w:ascii="宋体" w:hAnsi="宋体" w:cs="仿宋_GB2312"/>
          <w:sz w:val="24"/>
          <w:szCs w:val="24"/>
        </w:rPr>
        <w:t>遗存级别的评定由本院学术评议组负责，必要时征求其他专家的意见。</w:t>
      </w:r>
    </w:p>
    <w:p>
      <w:pPr>
        <w:autoSpaceDE w:val="0"/>
        <w:autoSpaceDN w:val="0"/>
        <w:spacing w:line="360" w:lineRule="auto"/>
        <w:ind w:firstLine="480" w:firstLineChars="200"/>
        <w:rPr>
          <w:rFonts w:ascii="宋体" w:hAnsi="宋体"/>
          <w:sz w:val="24"/>
          <w:szCs w:val="24"/>
        </w:rPr>
      </w:pPr>
    </w:p>
    <w:sectPr>
      <w:footerReference r:id="rId6"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BEB2E84-CD52-4D29-BEA1-B8BB8132C5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ADB1B684-8F0E-4FE2-8C21-71E34E94CE5E}"/>
  </w:font>
  <w:font w:name="楷体_GB2312">
    <w:altName w:val="楷体"/>
    <w:panose1 w:val="02010609030101010101"/>
    <w:charset w:val="86"/>
    <w:family w:val="modern"/>
    <w:pitch w:val="default"/>
    <w:sig w:usb0="00000000" w:usb1="00000000" w:usb2="00000000" w:usb3="00000000" w:csb0="00040000" w:csb1="00000000"/>
    <w:embedRegular r:id="rId3" w:fontKey="{6CD1BA23-31D7-4FE7-A4B5-45BCF3E884D6}"/>
  </w:font>
  <w:font w:name="楷体">
    <w:panose1 w:val="02010609060101010101"/>
    <w:charset w:val="86"/>
    <w:family w:val="auto"/>
    <w:pitch w:val="default"/>
    <w:sig w:usb0="800002BF" w:usb1="38CF7CFA" w:usb2="00000016" w:usb3="00000000" w:csb0="00040001" w:csb1="00000000"/>
    <w:embedRegular r:id="rId4" w:fontKey="{22D9C6A2-963B-4807-AEE5-4F5D12B44928}"/>
  </w:font>
  <w:font w:name="华文隶书">
    <w:panose1 w:val="02010800040101010101"/>
    <w:charset w:val="86"/>
    <w:family w:val="auto"/>
    <w:pitch w:val="default"/>
    <w:sig w:usb0="00000001" w:usb1="080F0000" w:usb2="00000000" w:usb3="00000000" w:csb0="00040000" w:csb1="00000000"/>
    <w:embedRegular r:id="rId5" w:fontKey="{398AF471-5C76-413D-BEA3-2A69929DF34A}"/>
  </w:font>
  <w:font w:name="仿宋">
    <w:panose1 w:val="02010609060101010101"/>
    <w:charset w:val="86"/>
    <w:family w:val="auto"/>
    <w:pitch w:val="default"/>
    <w:sig w:usb0="800002BF" w:usb1="38CF7CFA" w:usb2="00000016" w:usb3="00000000" w:csb0="00040001" w:csb1="00000000"/>
    <w:embedRegular r:id="rId6" w:fontKey="{F3E76602-D9BB-4CA5-AB59-ECD1BA47FE6D}"/>
  </w:font>
  <w:font w:name="仿宋_GB2312">
    <w:altName w:val="仿宋"/>
    <w:panose1 w:val="02010609030101010101"/>
    <w:charset w:val="86"/>
    <w:family w:val="modern"/>
    <w:pitch w:val="default"/>
    <w:sig w:usb0="00000000" w:usb1="00000000" w:usb2="00000000" w:usb3="00000000" w:csb0="00040000" w:csb1="00000000"/>
    <w:embedRegular r:id="rId7" w:fontKey="{B3BB77D0-D140-47F5-8182-CA65C51ACE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17CFE3"/>
    <w:multiLevelType w:val="singleLevel"/>
    <w:tmpl w:val="0F17CFE3"/>
    <w:lvl w:ilvl="0" w:tentative="0">
      <w:start w:val="2"/>
      <w:numFmt w:val="chineseCounting"/>
      <w:suff w:val="nothing"/>
      <w:lvlText w:val="（%1）"/>
      <w:lvlJc w:val="left"/>
      <w:rPr>
        <w:rFonts w:hint="eastAsia"/>
      </w:rPr>
    </w:lvl>
  </w:abstractNum>
  <w:abstractNum w:abstractNumId="1">
    <w:nsid w:val="59CA13D0"/>
    <w:multiLevelType w:val="singleLevel"/>
    <w:tmpl w:val="59CA13D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6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0NzVhNDU2ZDBjYzM3YThmOWYwOGM4YjRlZTQ2MDAifQ=="/>
  </w:docVars>
  <w:rsids>
    <w:rsidRoot w:val="00172A27"/>
    <w:rsid w:val="0000228E"/>
    <w:rsid w:val="00004F21"/>
    <w:rsid w:val="00010C33"/>
    <w:rsid w:val="00010F82"/>
    <w:rsid w:val="00014453"/>
    <w:rsid w:val="00015266"/>
    <w:rsid w:val="00021051"/>
    <w:rsid w:val="00047DB8"/>
    <w:rsid w:val="00075791"/>
    <w:rsid w:val="000B4933"/>
    <w:rsid w:val="000B4F06"/>
    <w:rsid w:val="000B7464"/>
    <w:rsid w:val="000C1F10"/>
    <w:rsid w:val="000C2E8C"/>
    <w:rsid w:val="000C7A0E"/>
    <w:rsid w:val="000D42EF"/>
    <w:rsid w:val="000D4939"/>
    <w:rsid w:val="000D5082"/>
    <w:rsid w:val="000E2390"/>
    <w:rsid w:val="000E38B7"/>
    <w:rsid w:val="000E5C29"/>
    <w:rsid w:val="00114326"/>
    <w:rsid w:val="00120AE5"/>
    <w:rsid w:val="00124FF2"/>
    <w:rsid w:val="00130812"/>
    <w:rsid w:val="00140682"/>
    <w:rsid w:val="001427D4"/>
    <w:rsid w:val="00153EE4"/>
    <w:rsid w:val="0016112A"/>
    <w:rsid w:val="00165B9B"/>
    <w:rsid w:val="0017062C"/>
    <w:rsid w:val="00172A27"/>
    <w:rsid w:val="00185460"/>
    <w:rsid w:val="0018773F"/>
    <w:rsid w:val="00190E10"/>
    <w:rsid w:val="00190E14"/>
    <w:rsid w:val="0019104B"/>
    <w:rsid w:val="001A2D7A"/>
    <w:rsid w:val="001A48AF"/>
    <w:rsid w:val="001B0055"/>
    <w:rsid w:val="001B078D"/>
    <w:rsid w:val="001C22BB"/>
    <w:rsid w:val="001C3337"/>
    <w:rsid w:val="001D1FE1"/>
    <w:rsid w:val="00200184"/>
    <w:rsid w:val="002015D4"/>
    <w:rsid w:val="00205F4E"/>
    <w:rsid w:val="002159BE"/>
    <w:rsid w:val="00217537"/>
    <w:rsid w:val="0022192E"/>
    <w:rsid w:val="002275ED"/>
    <w:rsid w:val="00234C2A"/>
    <w:rsid w:val="0025345D"/>
    <w:rsid w:val="002549B9"/>
    <w:rsid w:val="00255964"/>
    <w:rsid w:val="00255B9A"/>
    <w:rsid w:val="00276526"/>
    <w:rsid w:val="002815AA"/>
    <w:rsid w:val="00295465"/>
    <w:rsid w:val="002C6B8C"/>
    <w:rsid w:val="002D0A8E"/>
    <w:rsid w:val="002D2F9D"/>
    <w:rsid w:val="002E1FD6"/>
    <w:rsid w:val="002E4996"/>
    <w:rsid w:val="00304FC3"/>
    <w:rsid w:val="00305AFE"/>
    <w:rsid w:val="00306ED0"/>
    <w:rsid w:val="003143A3"/>
    <w:rsid w:val="00321C3E"/>
    <w:rsid w:val="003318A5"/>
    <w:rsid w:val="00334B0E"/>
    <w:rsid w:val="00337261"/>
    <w:rsid w:val="00341552"/>
    <w:rsid w:val="0034341B"/>
    <w:rsid w:val="003574DA"/>
    <w:rsid w:val="00363750"/>
    <w:rsid w:val="00371B0B"/>
    <w:rsid w:val="00372EEE"/>
    <w:rsid w:val="003804A7"/>
    <w:rsid w:val="00381490"/>
    <w:rsid w:val="00381E75"/>
    <w:rsid w:val="003907DB"/>
    <w:rsid w:val="003A0757"/>
    <w:rsid w:val="003A2D50"/>
    <w:rsid w:val="003A7106"/>
    <w:rsid w:val="003B0593"/>
    <w:rsid w:val="003B1BF2"/>
    <w:rsid w:val="003B3831"/>
    <w:rsid w:val="003B41BC"/>
    <w:rsid w:val="003B4AEB"/>
    <w:rsid w:val="003B5DEF"/>
    <w:rsid w:val="003C0470"/>
    <w:rsid w:val="003C469A"/>
    <w:rsid w:val="003C48A6"/>
    <w:rsid w:val="003C5DAA"/>
    <w:rsid w:val="003D1240"/>
    <w:rsid w:val="003D67FB"/>
    <w:rsid w:val="003E0C75"/>
    <w:rsid w:val="003E2B6D"/>
    <w:rsid w:val="003E31A2"/>
    <w:rsid w:val="003E4004"/>
    <w:rsid w:val="003E40E1"/>
    <w:rsid w:val="003F2982"/>
    <w:rsid w:val="003F4010"/>
    <w:rsid w:val="00400701"/>
    <w:rsid w:val="004025B2"/>
    <w:rsid w:val="00406D56"/>
    <w:rsid w:val="004126C5"/>
    <w:rsid w:val="00416229"/>
    <w:rsid w:val="00424373"/>
    <w:rsid w:val="0042658A"/>
    <w:rsid w:val="00433F18"/>
    <w:rsid w:val="004370AF"/>
    <w:rsid w:val="00443AA4"/>
    <w:rsid w:val="00447AA8"/>
    <w:rsid w:val="00447FFA"/>
    <w:rsid w:val="00450ED4"/>
    <w:rsid w:val="0045424D"/>
    <w:rsid w:val="00472DF7"/>
    <w:rsid w:val="00481A3D"/>
    <w:rsid w:val="00481FAF"/>
    <w:rsid w:val="00485D15"/>
    <w:rsid w:val="004868B4"/>
    <w:rsid w:val="00487559"/>
    <w:rsid w:val="0049330F"/>
    <w:rsid w:val="004B3109"/>
    <w:rsid w:val="004B4675"/>
    <w:rsid w:val="004C745B"/>
    <w:rsid w:val="004D6D18"/>
    <w:rsid w:val="004D798A"/>
    <w:rsid w:val="0050363A"/>
    <w:rsid w:val="00523025"/>
    <w:rsid w:val="00523D93"/>
    <w:rsid w:val="0052559A"/>
    <w:rsid w:val="005341E8"/>
    <w:rsid w:val="00535281"/>
    <w:rsid w:val="0054568F"/>
    <w:rsid w:val="00547DD0"/>
    <w:rsid w:val="005545C4"/>
    <w:rsid w:val="00570EB9"/>
    <w:rsid w:val="00571D19"/>
    <w:rsid w:val="00574F92"/>
    <w:rsid w:val="00583A36"/>
    <w:rsid w:val="005945A8"/>
    <w:rsid w:val="00596432"/>
    <w:rsid w:val="005B0919"/>
    <w:rsid w:val="005E289D"/>
    <w:rsid w:val="005E6445"/>
    <w:rsid w:val="005E786E"/>
    <w:rsid w:val="005F29A5"/>
    <w:rsid w:val="005F4C12"/>
    <w:rsid w:val="0061048D"/>
    <w:rsid w:val="00611737"/>
    <w:rsid w:val="006212D3"/>
    <w:rsid w:val="00636457"/>
    <w:rsid w:val="00636AE8"/>
    <w:rsid w:val="006375F8"/>
    <w:rsid w:val="0064191A"/>
    <w:rsid w:val="00642150"/>
    <w:rsid w:val="00643D74"/>
    <w:rsid w:val="00644C3B"/>
    <w:rsid w:val="00650F54"/>
    <w:rsid w:val="006535C7"/>
    <w:rsid w:val="00655D5B"/>
    <w:rsid w:val="006560CE"/>
    <w:rsid w:val="00675F01"/>
    <w:rsid w:val="00680F75"/>
    <w:rsid w:val="00682FE8"/>
    <w:rsid w:val="006837DC"/>
    <w:rsid w:val="0069381E"/>
    <w:rsid w:val="006947DF"/>
    <w:rsid w:val="00695329"/>
    <w:rsid w:val="006A05F6"/>
    <w:rsid w:val="006B21EA"/>
    <w:rsid w:val="006B4D5F"/>
    <w:rsid w:val="006B5B4F"/>
    <w:rsid w:val="006C1720"/>
    <w:rsid w:val="006C1E39"/>
    <w:rsid w:val="006E38D7"/>
    <w:rsid w:val="006F2AC4"/>
    <w:rsid w:val="006F2C72"/>
    <w:rsid w:val="006F6D72"/>
    <w:rsid w:val="00703B07"/>
    <w:rsid w:val="00704090"/>
    <w:rsid w:val="00715107"/>
    <w:rsid w:val="00715584"/>
    <w:rsid w:val="00727B69"/>
    <w:rsid w:val="00732175"/>
    <w:rsid w:val="00751240"/>
    <w:rsid w:val="0075316C"/>
    <w:rsid w:val="00757D21"/>
    <w:rsid w:val="00760275"/>
    <w:rsid w:val="007676D5"/>
    <w:rsid w:val="00783DA4"/>
    <w:rsid w:val="00790CCF"/>
    <w:rsid w:val="00796A9B"/>
    <w:rsid w:val="007A1049"/>
    <w:rsid w:val="007A3AEA"/>
    <w:rsid w:val="007B0178"/>
    <w:rsid w:val="007B3471"/>
    <w:rsid w:val="007C528C"/>
    <w:rsid w:val="007C5388"/>
    <w:rsid w:val="007E1537"/>
    <w:rsid w:val="007E30D7"/>
    <w:rsid w:val="007E471B"/>
    <w:rsid w:val="008008E4"/>
    <w:rsid w:val="00803379"/>
    <w:rsid w:val="008045AC"/>
    <w:rsid w:val="00807029"/>
    <w:rsid w:val="0081210A"/>
    <w:rsid w:val="0082010A"/>
    <w:rsid w:val="00820663"/>
    <w:rsid w:val="00821BE8"/>
    <w:rsid w:val="00826376"/>
    <w:rsid w:val="00830453"/>
    <w:rsid w:val="00832E53"/>
    <w:rsid w:val="0083463C"/>
    <w:rsid w:val="0084265D"/>
    <w:rsid w:val="00842B5F"/>
    <w:rsid w:val="00846C5B"/>
    <w:rsid w:val="008536FC"/>
    <w:rsid w:val="00862B15"/>
    <w:rsid w:val="008663F8"/>
    <w:rsid w:val="008672D6"/>
    <w:rsid w:val="00872A2A"/>
    <w:rsid w:val="00874E61"/>
    <w:rsid w:val="008752DC"/>
    <w:rsid w:val="0087675B"/>
    <w:rsid w:val="0088042C"/>
    <w:rsid w:val="00881183"/>
    <w:rsid w:val="00881B53"/>
    <w:rsid w:val="0088644A"/>
    <w:rsid w:val="008915FE"/>
    <w:rsid w:val="00892505"/>
    <w:rsid w:val="00892EFB"/>
    <w:rsid w:val="00893C28"/>
    <w:rsid w:val="00893D78"/>
    <w:rsid w:val="008A621F"/>
    <w:rsid w:val="008A6F06"/>
    <w:rsid w:val="008B05AB"/>
    <w:rsid w:val="008B0818"/>
    <w:rsid w:val="008B1934"/>
    <w:rsid w:val="008B35E9"/>
    <w:rsid w:val="008C0372"/>
    <w:rsid w:val="008D49FC"/>
    <w:rsid w:val="008F0656"/>
    <w:rsid w:val="008F3B0E"/>
    <w:rsid w:val="00900A16"/>
    <w:rsid w:val="00903F1C"/>
    <w:rsid w:val="00910D0D"/>
    <w:rsid w:val="00914122"/>
    <w:rsid w:val="00914E53"/>
    <w:rsid w:val="009268D4"/>
    <w:rsid w:val="009372FD"/>
    <w:rsid w:val="00941D5D"/>
    <w:rsid w:val="00943FE3"/>
    <w:rsid w:val="00946729"/>
    <w:rsid w:val="0095221D"/>
    <w:rsid w:val="0095330E"/>
    <w:rsid w:val="00955D18"/>
    <w:rsid w:val="00962DFB"/>
    <w:rsid w:val="00970460"/>
    <w:rsid w:val="00972A10"/>
    <w:rsid w:val="0099240A"/>
    <w:rsid w:val="00993B6A"/>
    <w:rsid w:val="009A173E"/>
    <w:rsid w:val="009A2A6B"/>
    <w:rsid w:val="009B2B12"/>
    <w:rsid w:val="009B7275"/>
    <w:rsid w:val="009C4872"/>
    <w:rsid w:val="009C7AF8"/>
    <w:rsid w:val="009D0F33"/>
    <w:rsid w:val="009E2225"/>
    <w:rsid w:val="009E4FD1"/>
    <w:rsid w:val="009E653C"/>
    <w:rsid w:val="009F736E"/>
    <w:rsid w:val="00A02184"/>
    <w:rsid w:val="00A03D5A"/>
    <w:rsid w:val="00A04B07"/>
    <w:rsid w:val="00A06AD3"/>
    <w:rsid w:val="00A138F1"/>
    <w:rsid w:val="00A1708D"/>
    <w:rsid w:val="00A23869"/>
    <w:rsid w:val="00A24931"/>
    <w:rsid w:val="00A2736C"/>
    <w:rsid w:val="00A273AA"/>
    <w:rsid w:val="00A34652"/>
    <w:rsid w:val="00A479D4"/>
    <w:rsid w:val="00A50ED8"/>
    <w:rsid w:val="00A541E9"/>
    <w:rsid w:val="00A54C8F"/>
    <w:rsid w:val="00A573FB"/>
    <w:rsid w:val="00A57F17"/>
    <w:rsid w:val="00A625CD"/>
    <w:rsid w:val="00A646A1"/>
    <w:rsid w:val="00A67447"/>
    <w:rsid w:val="00A67491"/>
    <w:rsid w:val="00A70740"/>
    <w:rsid w:val="00A74958"/>
    <w:rsid w:val="00A822CD"/>
    <w:rsid w:val="00A8326E"/>
    <w:rsid w:val="00A85D06"/>
    <w:rsid w:val="00A86372"/>
    <w:rsid w:val="00A86B33"/>
    <w:rsid w:val="00A9374B"/>
    <w:rsid w:val="00AA029B"/>
    <w:rsid w:val="00AA233B"/>
    <w:rsid w:val="00AA27C4"/>
    <w:rsid w:val="00AA524B"/>
    <w:rsid w:val="00AB6458"/>
    <w:rsid w:val="00AB6ED5"/>
    <w:rsid w:val="00AC4F03"/>
    <w:rsid w:val="00AC542D"/>
    <w:rsid w:val="00AC63FE"/>
    <w:rsid w:val="00AD3BE7"/>
    <w:rsid w:val="00AD639A"/>
    <w:rsid w:val="00AD764D"/>
    <w:rsid w:val="00AD769E"/>
    <w:rsid w:val="00AE17E3"/>
    <w:rsid w:val="00AE1DBF"/>
    <w:rsid w:val="00AF0060"/>
    <w:rsid w:val="00AF2310"/>
    <w:rsid w:val="00AF7ECA"/>
    <w:rsid w:val="00B019C8"/>
    <w:rsid w:val="00B1159D"/>
    <w:rsid w:val="00B21D0E"/>
    <w:rsid w:val="00B36252"/>
    <w:rsid w:val="00B43C2C"/>
    <w:rsid w:val="00B44EB4"/>
    <w:rsid w:val="00B564EF"/>
    <w:rsid w:val="00B65E9C"/>
    <w:rsid w:val="00B66DE5"/>
    <w:rsid w:val="00B709CD"/>
    <w:rsid w:val="00B714DA"/>
    <w:rsid w:val="00B77896"/>
    <w:rsid w:val="00B90A44"/>
    <w:rsid w:val="00B91F5A"/>
    <w:rsid w:val="00B930AA"/>
    <w:rsid w:val="00B9491D"/>
    <w:rsid w:val="00BA7450"/>
    <w:rsid w:val="00BA7DD9"/>
    <w:rsid w:val="00BB1C3B"/>
    <w:rsid w:val="00BC1103"/>
    <w:rsid w:val="00BC185C"/>
    <w:rsid w:val="00BC6ECB"/>
    <w:rsid w:val="00BD1747"/>
    <w:rsid w:val="00BF6BEA"/>
    <w:rsid w:val="00C05831"/>
    <w:rsid w:val="00C11DA6"/>
    <w:rsid w:val="00C1257A"/>
    <w:rsid w:val="00C262BA"/>
    <w:rsid w:val="00C27182"/>
    <w:rsid w:val="00C3124B"/>
    <w:rsid w:val="00C42265"/>
    <w:rsid w:val="00C4399B"/>
    <w:rsid w:val="00C46C64"/>
    <w:rsid w:val="00C518D0"/>
    <w:rsid w:val="00C51DDA"/>
    <w:rsid w:val="00C53271"/>
    <w:rsid w:val="00C57D5D"/>
    <w:rsid w:val="00C60FA2"/>
    <w:rsid w:val="00C659DC"/>
    <w:rsid w:val="00C734D6"/>
    <w:rsid w:val="00C76290"/>
    <w:rsid w:val="00C80A8F"/>
    <w:rsid w:val="00C81B39"/>
    <w:rsid w:val="00C82793"/>
    <w:rsid w:val="00C91A91"/>
    <w:rsid w:val="00C93BE8"/>
    <w:rsid w:val="00C95AFA"/>
    <w:rsid w:val="00C976FA"/>
    <w:rsid w:val="00CA086C"/>
    <w:rsid w:val="00CA304C"/>
    <w:rsid w:val="00CA7D2F"/>
    <w:rsid w:val="00CB36AD"/>
    <w:rsid w:val="00CC18EA"/>
    <w:rsid w:val="00CC3C37"/>
    <w:rsid w:val="00CC69F0"/>
    <w:rsid w:val="00CD1165"/>
    <w:rsid w:val="00CE07D9"/>
    <w:rsid w:val="00CE78E2"/>
    <w:rsid w:val="00D11858"/>
    <w:rsid w:val="00D32562"/>
    <w:rsid w:val="00D329BF"/>
    <w:rsid w:val="00D35015"/>
    <w:rsid w:val="00D36963"/>
    <w:rsid w:val="00D41CFB"/>
    <w:rsid w:val="00D47274"/>
    <w:rsid w:val="00D532B6"/>
    <w:rsid w:val="00D566BC"/>
    <w:rsid w:val="00D66D6E"/>
    <w:rsid w:val="00D874A9"/>
    <w:rsid w:val="00D9030B"/>
    <w:rsid w:val="00D90F1C"/>
    <w:rsid w:val="00D97F39"/>
    <w:rsid w:val="00DA3DEC"/>
    <w:rsid w:val="00DB6020"/>
    <w:rsid w:val="00DB6DF6"/>
    <w:rsid w:val="00DC633A"/>
    <w:rsid w:val="00DD24F0"/>
    <w:rsid w:val="00DD27B4"/>
    <w:rsid w:val="00DD6DE7"/>
    <w:rsid w:val="00DF0014"/>
    <w:rsid w:val="00DF0A80"/>
    <w:rsid w:val="00E00B38"/>
    <w:rsid w:val="00E033C7"/>
    <w:rsid w:val="00E07976"/>
    <w:rsid w:val="00E07C39"/>
    <w:rsid w:val="00E138E2"/>
    <w:rsid w:val="00E14217"/>
    <w:rsid w:val="00E31E34"/>
    <w:rsid w:val="00E44B11"/>
    <w:rsid w:val="00E4518A"/>
    <w:rsid w:val="00E53A10"/>
    <w:rsid w:val="00E57079"/>
    <w:rsid w:val="00E614D3"/>
    <w:rsid w:val="00E70101"/>
    <w:rsid w:val="00E746B9"/>
    <w:rsid w:val="00E816B3"/>
    <w:rsid w:val="00E83BAB"/>
    <w:rsid w:val="00E91C22"/>
    <w:rsid w:val="00E932A0"/>
    <w:rsid w:val="00EA1BA1"/>
    <w:rsid w:val="00EB0D53"/>
    <w:rsid w:val="00EB5C2E"/>
    <w:rsid w:val="00EB78A5"/>
    <w:rsid w:val="00EC04FC"/>
    <w:rsid w:val="00EC2211"/>
    <w:rsid w:val="00EC6760"/>
    <w:rsid w:val="00EC740F"/>
    <w:rsid w:val="00ED0ECB"/>
    <w:rsid w:val="00ED2304"/>
    <w:rsid w:val="00EE77F8"/>
    <w:rsid w:val="00EF0244"/>
    <w:rsid w:val="00EF1CC6"/>
    <w:rsid w:val="00EF6A3F"/>
    <w:rsid w:val="00F00996"/>
    <w:rsid w:val="00F14230"/>
    <w:rsid w:val="00F30EF0"/>
    <w:rsid w:val="00F33033"/>
    <w:rsid w:val="00F37B79"/>
    <w:rsid w:val="00F440AA"/>
    <w:rsid w:val="00F440F6"/>
    <w:rsid w:val="00F4554D"/>
    <w:rsid w:val="00F46937"/>
    <w:rsid w:val="00F61CF7"/>
    <w:rsid w:val="00F65F27"/>
    <w:rsid w:val="00F664C9"/>
    <w:rsid w:val="00F671CF"/>
    <w:rsid w:val="00F6760B"/>
    <w:rsid w:val="00F73D96"/>
    <w:rsid w:val="00F74BE1"/>
    <w:rsid w:val="00F80583"/>
    <w:rsid w:val="00F87B4C"/>
    <w:rsid w:val="00F958B6"/>
    <w:rsid w:val="00F97317"/>
    <w:rsid w:val="00FA3419"/>
    <w:rsid w:val="00FA4D2F"/>
    <w:rsid w:val="00FB4353"/>
    <w:rsid w:val="00FB5A62"/>
    <w:rsid w:val="00FC1398"/>
    <w:rsid w:val="00FC1714"/>
    <w:rsid w:val="00FC5CC4"/>
    <w:rsid w:val="00FE0A1B"/>
    <w:rsid w:val="00FE0F2F"/>
    <w:rsid w:val="00FF00A2"/>
    <w:rsid w:val="00FF03CA"/>
    <w:rsid w:val="00FF2DC6"/>
    <w:rsid w:val="00FF4950"/>
    <w:rsid w:val="00FF7760"/>
    <w:rsid w:val="015634EE"/>
    <w:rsid w:val="019B081B"/>
    <w:rsid w:val="022C57B1"/>
    <w:rsid w:val="0257360B"/>
    <w:rsid w:val="02CD62DC"/>
    <w:rsid w:val="03F97C93"/>
    <w:rsid w:val="05005DB3"/>
    <w:rsid w:val="054A7572"/>
    <w:rsid w:val="05D874DF"/>
    <w:rsid w:val="05F45150"/>
    <w:rsid w:val="06750762"/>
    <w:rsid w:val="06E626B0"/>
    <w:rsid w:val="091C1539"/>
    <w:rsid w:val="09351272"/>
    <w:rsid w:val="09440A55"/>
    <w:rsid w:val="0B441E89"/>
    <w:rsid w:val="0B9B6FB3"/>
    <w:rsid w:val="0BFE40FB"/>
    <w:rsid w:val="0C247777"/>
    <w:rsid w:val="0C8E789F"/>
    <w:rsid w:val="0D335F86"/>
    <w:rsid w:val="0DFD1B6F"/>
    <w:rsid w:val="0F1F1171"/>
    <w:rsid w:val="0F8B43A7"/>
    <w:rsid w:val="102E3D06"/>
    <w:rsid w:val="109A5DC0"/>
    <w:rsid w:val="10CF5EB4"/>
    <w:rsid w:val="115D7443"/>
    <w:rsid w:val="116A6B7F"/>
    <w:rsid w:val="1259268A"/>
    <w:rsid w:val="132D1C83"/>
    <w:rsid w:val="13794251"/>
    <w:rsid w:val="1609105D"/>
    <w:rsid w:val="161014DC"/>
    <w:rsid w:val="16634C12"/>
    <w:rsid w:val="16C26725"/>
    <w:rsid w:val="189A5F9C"/>
    <w:rsid w:val="197B4F5C"/>
    <w:rsid w:val="1995101B"/>
    <w:rsid w:val="1ABA7B44"/>
    <w:rsid w:val="1B623E0A"/>
    <w:rsid w:val="1C3C3AD9"/>
    <w:rsid w:val="1CB95289"/>
    <w:rsid w:val="1DBA2C3C"/>
    <w:rsid w:val="1E091B08"/>
    <w:rsid w:val="1F4733E3"/>
    <w:rsid w:val="1F751B72"/>
    <w:rsid w:val="1F81709C"/>
    <w:rsid w:val="211614E2"/>
    <w:rsid w:val="21451911"/>
    <w:rsid w:val="254B2428"/>
    <w:rsid w:val="25633CE3"/>
    <w:rsid w:val="2592125E"/>
    <w:rsid w:val="26F75A21"/>
    <w:rsid w:val="27FE22DC"/>
    <w:rsid w:val="2819485B"/>
    <w:rsid w:val="28CA27E5"/>
    <w:rsid w:val="290B223D"/>
    <w:rsid w:val="295C51BA"/>
    <w:rsid w:val="2AA72A9D"/>
    <w:rsid w:val="2B331F5B"/>
    <w:rsid w:val="2B9F4A06"/>
    <w:rsid w:val="2C347667"/>
    <w:rsid w:val="2CB0694D"/>
    <w:rsid w:val="2CF90F92"/>
    <w:rsid w:val="2D6E2060"/>
    <w:rsid w:val="2DA22681"/>
    <w:rsid w:val="2DFB13CA"/>
    <w:rsid w:val="2E762BF4"/>
    <w:rsid w:val="2E8B1098"/>
    <w:rsid w:val="2F432757"/>
    <w:rsid w:val="2FB136C4"/>
    <w:rsid w:val="2FFD0921"/>
    <w:rsid w:val="305C4B08"/>
    <w:rsid w:val="33A92512"/>
    <w:rsid w:val="34CB7A81"/>
    <w:rsid w:val="353E4115"/>
    <w:rsid w:val="359A5718"/>
    <w:rsid w:val="36DF4CA7"/>
    <w:rsid w:val="378F34F6"/>
    <w:rsid w:val="38141554"/>
    <w:rsid w:val="39762F47"/>
    <w:rsid w:val="39BD5040"/>
    <w:rsid w:val="3ACD5D3E"/>
    <w:rsid w:val="3ADA51FD"/>
    <w:rsid w:val="3B306987"/>
    <w:rsid w:val="3B653A9F"/>
    <w:rsid w:val="3B7E25A9"/>
    <w:rsid w:val="3C450C1C"/>
    <w:rsid w:val="3F0E26E6"/>
    <w:rsid w:val="3F61569A"/>
    <w:rsid w:val="40F5553D"/>
    <w:rsid w:val="44122E6F"/>
    <w:rsid w:val="458E4B15"/>
    <w:rsid w:val="45C76287"/>
    <w:rsid w:val="47432DA4"/>
    <w:rsid w:val="47AB02AA"/>
    <w:rsid w:val="47AF5570"/>
    <w:rsid w:val="493A2188"/>
    <w:rsid w:val="496218D2"/>
    <w:rsid w:val="49F072F1"/>
    <w:rsid w:val="4A6B7B83"/>
    <w:rsid w:val="4C0B20EB"/>
    <w:rsid w:val="4C356F70"/>
    <w:rsid w:val="4C605414"/>
    <w:rsid w:val="4CE621AF"/>
    <w:rsid w:val="4DC510D5"/>
    <w:rsid w:val="4EF94E87"/>
    <w:rsid w:val="50691ADA"/>
    <w:rsid w:val="524129B8"/>
    <w:rsid w:val="535152B8"/>
    <w:rsid w:val="5354699B"/>
    <w:rsid w:val="53BA0F4B"/>
    <w:rsid w:val="560D7816"/>
    <w:rsid w:val="56110696"/>
    <w:rsid w:val="56A31204"/>
    <w:rsid w:val="56BE16E4"/>
    <w:rsid w:val="581B0F72"/>
    <w:rsid w:val="589F171E"/>
    <w:rsid w:val="5B2861BF"/>
    <w:rsid w:val="5B2E6B88"/>
    <w:rsid w:val="5B867C14"/>
    <w:rsid w:val="5D14554B"/>
    <w:rsid w:val="5ECC2C57"/>
    <w:rsid w:val="5FBE24BF"/>
    <w:rsid w:val="602F091B"/>
    <w:rsid w:val="60CF5A18"/>
    <w:rsid w:val="6124095A"/>
    <w:rsid w:val="61621787"/>
    <w:rsid w:val="61C80A51"/>
    <w:rsid w:val="62511C80"/>
    <w:rsid w:val="62571D80"/>
    <w:rsid w:val="63855E3B"/>
    <w:rsid w:val="653C78A9"/>
    <w:rsid w:val="67CE6956"/>
    <w:rsid w:val="69232D45"/>
    <w:rsid w:val="69653055"/>
    <w:rsid w:val="6A720A22"/>
    <w:rsid w:val="6A8C71BA"/>
    <w:rsid w:val="6BF61794"/>
    <w:rsid w:val="6C0F21D5"/>
    <w:rsid w:val="6F1B359F"/>
    <w:rsid w:val="6F96253A"/>
    <w:rsid w:val="71E906B6"/>
    <w:rsid w:val="722E760D"/>
    <w:rsid w:val="72D2121C"/>
    <w:rsid w:val="72F4238D"/>
    <w:rsid w:val="73431739"/>
    <w:rsid w:val="736531BD"/>
    <w:rsid w:val="73C64D7F"/>
    <w:rsid w:val="73D26494"/>
    <w:rsid w:val="759C6025"/>
    <w:rsid w:val="75FC71C8"/>
    <w:rsid w:val="760F7271"/>
    <w:rsid w:val="763D2256"/>
    <w:rsid w:val="7671605D"/>
    <w:rsid w:val="76BE2A03"/>
    <w:rsid w:val="76D46C00"/>
    <w:rsid w:val="778D3C23"/>
    <w:rsid w:val="782B3132"/>
    <w:rsid w:val="787C0243"/>
    <w:rsid w:val="78AD1A1F"/>
    <w:rsid w:val="79FE464D"/>
    <w:rsid w:val="7D167562"/>
    <w:rsid w:val="7E9D384B"/>
    <w:rsid w:val="7EBC3D3E"/>
    <w:rsid w:val="7F22248B"/>
    <w:rsid w:val="7F561A75"/>
    <w:rsid w:val="7FAE7080"/>
    <w:rsid w:val="7FB5580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qFormat="1" w:unhideWhenUsed="0" w:uiPriority="0" w:semiHidden="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iPriority="99" w:semiHidden="0" w:name="Body Text Indent 3"/>
    <w:lsdException w:uiPriority="0" w:name="Block Text"/>
    <w:lsdException w:qFormat="1" w:uiPriority="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1"/>
    <w:basedOn w:val="1"/>
    <w:next w:val="1"/>
    <w:link w:val="55"/>
    <w:qFormat/>
    <w:uiPriority w:val="0"/>
    <w:pPr>
      <w:keepNext/>
      <w:keepLines/>
      <w:spacing w:before="340" w:after="330" w:line="578" w:lineRule="auto"/>
      <w:outlineLvl w:val="0"/>
    </w:pPr>
    <w:rPr>
      <w:rFonts w:ascii="Times New Roman" w:hAnsi="Times New Roman"/>
      <w:b/>
      <w:bCs/>
      <w:kern w:val="44"/>
      <w:sz w:val="44"/>
      <w:szCs w:val="44"/>
    </w:rPr>
  </w:style>
  <w:style w:type="paragraph" w:styleId="7">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8">
    <w:name w:val="heading 3"/>
    <w:basedOn w:val="1"/>
    <w:next w:val="1"/>
    <w:unhideWhenUsed/>
    <w:qFormat/>
    <w:uiPriority w:val="9"/>
    <w:pPr>
      <w:keepNext/>
      <w:keepLines/>
      <w:spacing w:line="413" w:lineRule="auto"/>
      <w:outlineLvl w:val="2"/>
    </w:pPr>
    <w:rPr>
      <w:b/>
      <w:sz w:val="32"/>
    </w:rPr>
  </w:style>
  <w:style w:type="character" w:default="1" w:styleId="24">
    <w:name w:val="Default Paragraph Font"/>
    <w:unhideWhenUsed/>
    <w:qFormat/>
    <w:uiPriority w:val="1"/>
  </w:style>
  <w:style w:type="table" w:default="1" w:styleId="22">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link w:val="33"/>
    <w:unhideWhenUsed/>
    <w:qFormat/>
    <w:uiPriority w:val="0"/>
    <w:pPr>
      <w:spacing w:after="120"/>
      <w:ind w:left="420" w:leftChars="200"/>
    </w:pPr>
  </w:style>
  <w:style w:type="paragraph" w:styleId="4">
    <w:name w:val="Body Text First Indent"/>
    <w:basedOn w:val="5"/>
    <w:qFormat/>
    <w:uiPriority w:val="0"/>
    <w:pPr>
      <w:ind w:firstLine="420" w:firstLineChars="100"/>
    </w:pPr>
  </w:style>
  <w:style w:type="paragraph" w:styleId="5">
    <w:name w:val="Body Text"/>
    <w:basedOn w:val="1"/>
    <w:qFormat/>
    <w:uiPriority w:val="1"/>
    <w:rPr>
      <w:rFonts w:ascii="宋体" w:hAnsi="宋体" w:eastAsia="宋体" w:cs="宋体"/>
      <w:sz w:val="24"/>
      <w:szCs w:val="24"/>
      <w:lang w:val="zh-CN" w:eastAsia="zh-CN" w:bidi="zh-CN"/>
    </w:rPr>
  </w:style>
  <w:style w:type="paragraph" w:styleId="9">
    <w:name w:val="caption"/>
    <w:basedOn w:val="1"/>
    <w:next w:val="1"/>
    <w:qFormat/>
    <w:uiPriority w:val="0"/>
    <w:rPr>
      <w:rFonts w:ascii="Cambria" w:hAnsi="Cambria" w:eastAsia="黑体" w:cs="黑体"/>
      <w:sz w:val="20"/>
      <w:szCs w:val="20"/>
    </w:rPr>
  </w:style>
  <w:style w:type="paragraph" w:styleId="10">
    <w:name w:val="Date"/>
    <w:basedOn w:val="1"/>
    <w:next w:val="1"/>
    <w:link w:val="43"/>
    <w:unhideWhenUsed/>
    <w:qFormat/>
    <w:uiPriority w:val="0"/>
    <w:pPr>
      <w:ind w:left="100" w:leftChars="2500"/>
    </w:pPr>
  </w:style>
  <w:style w:type="paragraph" w:styleId="11">
    <w:name w:val="Body Text Indent 2"/>
    <w:basedOn w:val="1"/>
    <w:qFormat/>
    <w:uiPriority w:val="0"/>
    <w:pPr>
      <w:spacing w:after="120" w:line="480" w:lineRule="auto"/>
      <w:ind w:left="420" w:leftChars="200"/>
    </w:pPr>
  </w:style>
  <w:style w:type="paragraph" w:styleId="12">
    <w:name w:val="endnote text"/>
    <w:basedOn w:val="1"/>
    <w:qFormat/>
    <w:uiPriority w:val="0"/>
    <w:pPr>
      <w:snapToGrid w:val="0"/>
      <w:jc w:val="left"/>
    </w:pPr>
  </w:style>
  <w:style w:type="paragraph" w:styleId="13">
    <w:name w:val="Balloon Text"/>
    <w:basedOn w:val="1"/>
    <w:link w:val="34"/>
    <w:unhideWhenUsed/>
    <w:qFormat/>
    <w:uiPriority w:val="99"/>
    <w:rPr>
      <w:kern w:val="0"/>
      <w:sz w:val="18"/>
      <w:szCs w:val="18"/>
    </w:rPr>
  </w:style>
  <w:style w:type="paragraph" w:styleId="14">
    <w:name w:val="footer"/>
    <w:basedOn w:val="1"/>
    <w:link w:val="35"/>
    <w:unhideWhenUsed/>
    <w:qFormat/>
    <w:uiPriority w:val="99"/>
    <w:pPr>
      <w:tabs>
        <w:tab w:val="center" w:pos="4153"/>
        <w:tab w:val="right" w:pos="8306"/>
      </w:tabs>
      <w:snapToGrid w:val="0"/>
      <w:jc w:val="left"/>
    </w:pPr>
    <w:rPr>
      <w:kern w:val="0"/>
      <w:sz w:val="18"/>
      <w:szCs w:val="18"/>
    </w:rPr>
  </w:style>
  <w:style w:type="paragraph" w:styleId="15">
    <w:name w:val="header"/>
    <w:basedOn w:val="1"/>
    <w:link w:val="3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link w:val="54"/>
    <w:unhideWhenUsed/>
    <w:qFormat/>
    <w:uiPriority w:val="39"/>
    <w:pPr>
      <w:keepNext w:val="0"/>
      <w:keepLines w:val="0"/>
      <w:widowControl/>
      <w:suppressLineNumbers w:val="0"/>
      <w:spacing w:before="0" w:beforeAutospacing="0" w:after="0" w:afterAutospacing="0"/>
      <w:ind w:left="0" w:right="0" w:firstLine="360"/>
      <w:jc w:val="left"/>
    </w:pPr>
    <w:rPr>
      <w:rFonts w:hint="default" w:ascii="Calibri" w:hAnsi="Calibri" w:eastAsia="宋体" w:cs="Times New Roman"/>
      <w:kern w:val="0"/>
      <w:sz w:val="22"/>
      <w:szCs w:val="22"/>
      <w:lang w:val="en-US" w:eastAsia="zh-CN" w:bidi="ar"/>
    </w:rPr>
  </w:style>
  <w:style w:type="paragraph" w:styleId="17">
    <w:name w:val="Subtitle"/>
    <w:basedOn w:val="1"/>
    <w:next w:val="1"/>
    <w:link w:val="38"/>
    <w:qFormat/>
    <w:uiPriority w:val="11"/>
    <w:pPr>
      <w:spacing w:before="240" w:after="60" w:line="312" w:lineRule="auto"/>
      <w:jc w:val="left"/>
      <w:outlineLvl w:val="1"/>
    </w:pPr>
    <w:rPr>
      <w:rFonts w:asciiTheme="majorHAnsi" w:hAnsiTheme="majorHAnsi" w:cstheme="majorBidi"/>
      <w:bCs/>
      <w:kern w:val="28"/>
      <w:sz w:val="28"/>
      <w:szCs w:val="32"/>
    </w:rPr>
  </w:style>
  <w:style w:type="paragraph" w:styleId="18">
    <w:name w:val="Body Text Indent 3"/>
    <w:basedOn w:val="1"/>
    <w:link w:val="36"/>
    <w:unhideWhenUsed/>
    <w:qFormat/>
    <w:uiPriority w:val="99"/>
    <w:pPr>
      <w:spacing w:after="120"/>
      <w:ind w:left="420" w:leftChars="200"/>
    </w:pPr>
    <w:rPr>
      <w:kern w:val="0"/>
      <w:sz w:val="16"/>
      <w:szCs w:val="16"/>
    </w:rPr>
  </w:style>
  <w:style w:type="paragraph" w:styleId="19">
    <w:name w:val="toc 2"/>
    <w:basedOn w:val="1"/>
    <w:next w:val="1"/>
    <w:unhideWhenUsed/>
    <w:qFormat/>
    <w:uiPriority w:val="39"/>
    <w:pPr>
      <w:ind w:left="420" w:leftChars="200"/>
    </w:pPr>
    <w:rPr>
      <w:rFonts w:ascii="Times New Roman" w:hAnsi="Times New Roman"/>
      <w:szCs w:val="20"/>
    </w:rPr>
  </w:style>
  <w:style w:type="paragraph" w:styleId="20">
    <w:name w:val="Normal (Web)"/>
    <w:basedOn w:val="1"/>
    <w:semiHidden/>
    <w:unhideWhenUsed/>
    <w:qFormat/>
    <w:uiPriority w:val="0"/>
    <w:rPr>
      <w:sz w:val="24"/>
    </w:rPr>
  </w:style>
  <w:style w:type="paragraph" w:styleId="21">
    <w:name w:val="Title"/>
    <w:basedOn w:val="1"/>
    <w:next w:val="1"/>
    <w:link w:val="56"/>
    <w:qFormat/>
    <w:uiPriority w:val="10"/>
    <w:pPr>
      <w:spacing w:before="240" w:after="60"/>
      <w:jc w:val="center"/>
      <w:outlineLvl w:val="0"/>
    </w:pPr>
    <w:rPr>
      <w:rFonts w:asciiTheme="majorHAnsi" w:hAnsiTheme="majorHAnsi" w:cstheme="majorBidi"/>
      <w:b/>
      <w:bCs/>
      <w:sz w:val="28"/>
      <w:szCs w:val="32"/>
    </w:rPr>
  </w:style>
  <w:style w:type="table" w:styleId="23">
    <w:name w:val="Table Grid"/>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5">
    <w:name w:val="page number"/>
    <w:basedOn w:val="24"/>
    <w:unhideWhenUsed/>
    <w:qFormat/>
    <w:uiPriority w:val="0"/>
  </w:style>
  <w:style w:type="character" w:styleId="26">
    <w:name w:val="FollowedHyperlink"/>
    <w:basedOn w:val="24"/>
    <w:unhideWhenUsed/>
    <w:qFormat/>
    <w:uiPriority w:val="0"/>
    <w:rPr>
      <w:color w:val="800080"/>
      <w:u w:val="single"/>
    </w:rPr>
  </w:style>
  <w:style w:type="character" w:styleId="27">
    <w:name w:val="Hyperlink"/>
    <w:basedOn w:val="24"/>
    <w:semiHidden/>
    <w:unhideWhenUsed/>
    <w:qFormat/>
    <w:uiPriority w:val="0"/>
    <w:rPr>
      <w:color w:val="0000FF"/>
      <w:u w:val="single"/>
    </w:rPr>
  </w:style>
  <w:style w:type="paragraph" w:customStyle="1" w:styleId="28">
    <w:name w:val="样式1"/>
    <w:basedOn w:val="12"/>
    <w:link w:val="42"/>
    <w:qFormat/>
    <w:uiPriority w:val="0"/>
    <w:rPr>
      <w:rFonts w:ascii="宋体" w:hAnsi="宋体" w:cs="宋体"/>
      <w:sz w:val="24"/>
      <w:szCs w:val="24"/>
    </w:rPr>
  </w:style>
  <w:style w:type="paragraph" w:customStyle="1" w:styleId="29">
    <w:name w:val="样式2"/>
    <w:basedOn w:val="18"/>
    <w:next w:val="28"/>
    <w:link w:val="44"/>
    <w:qFormat/>
    <w:uiPriority w:val="0"/>
    <w:pPr>
      <w:spacing w:after="0" w:line="360" w:lineRule="auto"/>
      <w:ind w:left="0" w:leftChars="0" w:firstLine="480" w:firstLineChars="200"/>
    </w:pPr>
    <w:rPr>
      <w:rFonts w:ascii="宋体" w:hAnsi="宋体" w:cs="宋体"/>
      <w:sz w:val="24"/>
      <w:szCs w:val="24"/>
    </w:rPr>
  </w:style>
  <w:style w:type="character" w:customStyle="1" w:styleId="30">
    <w:name w:val="标题 1 Char"/>
    <w:basedOn w:val="24"/>
    <w:link w:val="6"/>
    <w:qFormat/>
    <w:uiPriority w:val="0"/>
    <w:rPr>
      <w:b/>
      <w:bCs/>
      <w:kern w:val="44"/>
      <w:sz w:val="44"/>
      <w:szCs w:val="44"/>
    </w:rPr>
  </w:style>
  <w:style w:type="character" w:customStyle="1" w:styleId="31">
    <w:name w:val="标题 2 Char"/>
    <w:basedOn w:val="24"/>
    <w:link w:val="7"/>
    <w:qFormat/>
    <w:uiPriority w:val="9"/>
    <w:rPr>
      <w:rFonts w:asciiTheme="majorHAnsi" w:hAnsiTheme="majorHAnsi" w:eastAsiaTheme="majorEastAsia" w:cstheme="majorBidi"/>
      <w:b/>
      <w:bCs/>
      <w:kern w:val="2"/>
      <w:sz w:val="32"/>
      <w:szCs w:val="32"/>
    </w:rPr>
  </w:style>
  <w:style w:type="character" w:customStyle="1" w:styleId="32">
    <w:name w:val="页眉 Char"/>
    <w:link w:val="15"/>
    <w:qFormat/>
    <w:uiPriority w:val="99"/>
    <w:rPr>
      <w:rFonts w:ascii="Calibri" w:hAnsi="Calibri"/>
      <w:sz w:val="18"/>
      <w:szCs w:val="18"/>
    </w:rPr>
  </w:style>
  <w:style w:type="character" w:customStyle="1" w:styleId="33">
    <w:name w:val="正文文本缩进 Char"/>
    <w:link w:val="3"/>
    <w:semiHidden/>
    <w:qFormat/>
    <w:uiPriority w:val="0"/>
    <w:rPr>
      <w:rFonts w:ascii="Calibri" w:hAnsi="Calibri"/>
      <w:kern w:val="2"/>
      <w:sz w:val="21"/>
      <w:szCs w:val="22"/>
    </w:rPr>
  </w:style>
  <w:style w:type="character" w:customStyle="1" w:styleId="34">
    <w:name w:val="批注框文本 Char"/>
    <w:link w:val="13"/>
    <w:semiHidden/>
    <w:qFormat/>
    <w:uiPriority w:val="99"/>
    <w:rPr>
      <w:rFonts w:ascii="Calibri" w:hAnsi="Calibri" w:eastAsia="宋体" w:cs="Times New Roman"/>
      <w:sz w:val="18"/>
      <w:szCs w:val="18"/>
    </w:rPr>
  </w:style>
  <w:style w:type="character" w:customStyle="1" w:styleId="35">
    <w:name w:val="页脚 Char"/>
    <w:link w:val="14"/>
    <w:qFormat/>
    <w:uiPriority w:val="99"/>
    <w:rPr>
      <w:rFonts w:ascii="Calibri" w:hAnsi="Calibri" w:eastAsia="宋体" w:cs="Times New Roman"/>
      <w:sz w:val="18"/>
      <w:szCs w:val="18"/>
    </w:rPr>
  </w:style>
  <w:style w:type="character" w:customStyle="1" w:styleId="36">
    <w:name w:val="正文文本缩进 3 Char"/>
    <w:link w:val="18"/>
    <w:qFormat/>
    <w:uiPriority w:val="99"/>
    <w:rPr>
      <w:rFonts w:ascii="Calibri" w:hAnsi="Calibri" w:eastAsia="宋体" w:cs="Times New Roman"/>
      <w:sz w:val="16"/>
      <w:szCs w:val="16"/>
    </w:rPr>
  </w:style>
  <w:style w:type="character" w:customStyle="1" w:styleId="37">
    <w:name w:val="标题 Char"/>
    <w:basedOn w:val="24"/>
    <w:link w:val="21"/>
    <w:qFormat/>
    <w:uiPriority w:val="10"/>
    <w:rPr>
      <w:rFonts w:asciiTheme="majorHAnsi" w:hAnsiTheme="majorHAnsi" w:cstheme="majorBidi"/>
      <w:b/>
      <w:bCs/>
      <w:kern w:val="2"/>
      <w:sz w:val="28"/>
      <w:szCs w:val="32"/>
    </w:rPr>
  </w:style>
  <w:style w:type="character" w:customStyle="1" w:styleId="38">
    <w:name w:val="副标题 Char"/>
    <w:basedOn w:val="24"/>
    <w:link w:val="17"/>
    <w:qFormat/>
    <w:uiPriority w:val="11"/>
    <w:rPr>
      <w:rFonts w:asciiTheme="majorHAnsi" w:hAnsiTheme="majorHAnsi" w:cstheme="majorBidi"/>
      <w:bCs/>
      <w:kern w:val="28"/>
      <w:sz w:val="28"/>
      <w:szCs w:val="32"/>
    </w:rPr>
  </w:style>
  <w:style w:type="paragraph" w:customStyle="1" w:styleId="39">
    <w:name w:val="列出段落1"/>
    <w:basedOn w:val="1"/>
    <w:qFormat/>
    <w:uiPriority w:val="99"/>
    <w:pPr>
      <w:ind w:firstLine="420" w:firstLineChars="200"/>
    </w:pPr>
  </w:style>
  <w:style w:type="character" w:customStyle="1" w:styleId="40">
    <w:name w:val="apple-converted-space"/>
    <w:basedOn w:val="24"/>
    <w:qFormat/>
    <w:uiPriority w:val="0"/>
  </w:style>
  <w:style w:type="character" w:customStyle="1" w:styleId="41">
    <w:name w:val="fontstyle01"/>
    <w:basedOn w:val="24"/>
    <w:qFormat/>
    <w:uiPriority w:val="0"/>
    <w:rPr>
      <w:rFonts w:hint="eastAsia" w:ascii="宋体" w:hAnsi="宋体" w:eastAsia="宋体"/>
      <w:color w:val="000000"/>
      <w:sz w:val="24"/>
      <w:szCs w:val="24"/>
    </w:rPr>
  </w:style>
  <w:style w:type="character" w:customStyle="1" w:styleId="42">
    <w:name w:val="样式1 字符"/>
    <w:basedOn w:val="24"/>
    <w:link w:val="28"/>
    <w:qFormat/>
    <w:uiPriority w:val="0"/>
    <w:rPr>
      <w:rFonts w:ascii="宋体" w:hAnsi="宋体" w:cs="宋体"/>
      <w:kern w:val="2"/>
      <w:sz w:val="24"/>
      <w:szCs w:val="24"/>
    </w:rPr>
  </w:style>
  <w:style w:type="character" w:customStyle="1" w:styleId="43">
    <w:name w:val="日期 Char"/>
    <w:basedOn w:val="24"/>
    <w:link w:val="10"/>
    <w:semiHidden/>
    <w:qFormat/>
    <w:uiPriority w:val="0"/>
    <w:rPr>
      <w:rFonts w:ascii="Calibri" w:hAnsi="Calibri"/>
      <w:kern w:val="2"/>
      <w:sz w:val="21"/>
      <w:szCs w:val="22"/>
    </w:rPr>
  </w:style>
  <w:style w:type="character" w:customStyle="1" w:styleId="44">
    <w:name w:val="样式2 字符"/>
    <w:basedOn w:val="36"/>
    <w:link w:val="29"/>
    <w:qFormat/>
    <w:uiPriority w:val="0"/>
    <w:rPr>
      <w:rFonts w:ascii="宋体" w:hAnsi="宋体" w:eastAsia="宋体" w:cs="宋体"/>
      <w:sz w:val="24"/>
      <w:szCs w:val="24"/>
    </w:rPr>
  </w:style>
  <w:style w:type="paragraph" w:customStyle="1" w:styleId="45">
    <w:name w:val="样式3"/>
    <w:basedOn w:val="1"/>
    <w:link w:val="47"/>
    <w:qFormat/>
    <w:uiPriority w:val="0"/>
    <w:pPr>
      <w:spacing w:line="360" w:lineRule="auto"/>
      <w:ind w:firstLine="482" w:firstLineChars="201"/>
    </w:pPr>
    <w:rPr>
      <w:rFonts w:ascii="宋体" w:hAnsi="宋体"/>
      <w:sz w:val="24"/>
      <w:szCs w:val="24"/>
    </w:rPr>
  </w:style>
  <w:style w:type="character" w:customStyle="1" w:styleId="46">
    <w:name w:val="st1"/>
    <w:basedOn w:val="24"/>
    <w:qFormat/>
    <w:uiPriority w:val="0"/>
    <w:rPr>
      <w:rFonts w:cs="Times New Roman"/>
    </w:rPr>
  </w:style>
  <w:style w:type="character" w:customStyle="1" w:styleId="47">
    <w:name w:val="样式3 Char"/>
    <w:basedOn w:val="24"/>
    <w:link w:val="45"/>
    <w:qFormat/>
    <w:uiPriority w:val="0"/>
    <w:rPr>
      <w:rFonts w:ascii="宋体" w:hAnsi="宋体"/>
      <w:kern w:val="2"/>
      <w:sz w:val="24"/>
      <w:szCs w:val="24"/>
    </w:rPr>
  </w:style>
  <w:style w:type="paragraph" w:customStyle="1" w:styleId="48">
    <w:name w:val="样式4"/>
    <w:basedOn w:val="1"/>
    <w:link w:val="49"/>
    <w:qFormat/>
    <w:uiPriority w:val="0"/>
  </w:style>
  <w:style w:type="character" w:customStyle="1" w:styleId="49">
    <w:name w:val="样式4 Char"/>
    <w:basedOn w:val="24"/>
    <w:link w:val="48"/>
    <w:qFormat/>
    <w:uiPriority w:val="0"/>
    <w:rPr>
      <w:rFonts w:ascii="Calibri" w:hAnsi="Calibri"/>
      <w:kern w:val="2"/>
      <w:sz w:val="21"/>
      <w:szCs w:val="22"/>
    </w:rPr>
  </w:style>
  <w:style w:type="paragraph" w:customStyle="1" w:styleId="50">
    <w:name w:val="样式5"/>
    <w:basedOn w:val="1"/>
    <w:link w:val="51"/>
    <w:qFormat/>
    <w:uiPriority w:val="0"/>
  </w:style>
  <w:style w:type="character" w:customStyle="1" w:styleId="51">
    <w:name w:val="样式5 Char"/>
    <w:basedOn w:val="24"/>
    <w:link w:val="50"/>
    <w:qFormat/>
    <w:uiPriority w:val="0"/>
    <w:rPr>
      <w:rFonts w:ascii="Calibri" w:hAnsi="Calibri"/>
      <w:kern w:val="2"/>
      <w:sz w:val="21"/>
      <w:szCs w:val="22"/>
    </w:rPr>
  </w:style>
  <w:style w:type="paragraph" w:customStyle="1" w:styleId="52">
    <w:name w:val="样式6"/>
    <w:link w:val="53"/>
    <w:qFormat/>
    <w:uiPriority w:val="0"/>
    <w:rPr>
      <w:rFonts w:ascii="Calibri" w:hAnsi="Calibri" w:eastAsia="宋体" w:cs="Times New Roman"/>
      <w:sz w:val="18"/>
      <w:szCs w:val="18"/>
      <w:lang w:val="en-US" w:eastAsia="zh-CN" w:bidi="ar-SA"/>
    </w:rPr>
  </w:style>
  <w:style w:type="character" w:customStyle="1" w:styleId="53">
    <w:name w:val="样式6 Char"/>
    <w:basedOn w:val="24"/>
    <w:link w:val="52"/>
    <w:qFormat/>
    <w:uiPriority w:val="0"/>
    <w:rPr>
      <w:rFonts w:ascii="Calibri" w:hAnsi="Calibri"/>
      <w:sz w:val="18"/>
      <w:szCs w:val="18"/>
    </w:rPr>
  </w:style>
  <w:style w:type="character" w:customStyle="1" w:styleId="54">
    <w:name w:val="目录 1 Char"/>
    <w:basedOn w:val="24"/>
    <w:link w:val="16"/>
    <w:qFormat/>
    <w:uiPriority w:val="0"/>
    <w:rPr>
      <w:rFonts w:hint="default" w:ascii="Calibri" w:hAnsi="Calibri" w:cs="Calibri"/>
      <w:sz w:val="22"/>
      <w:szCs w:val="22"/>
      <w:lang w:eastAsia="en-US" w:bidi="en-US"/>
    </w:rPr>
  </w:style>
  <w:style w:type="character" w:customStyle="1" w:styleId="55">
    <w:name w:val="标题 1 字符"/>
    <w:link w:val="6"/>
    <w:qFormat/>
    <w:uiPriority w:val="0"/>
    <w:rPr>
      <w:rFonts w:ascii="Times New Roman" w:hAnsi="Times New Roman" w:eastAsia="宋体"/>
      <w:b/>
      <w:kern w:val="44"/>
      <w:sz w:val="28"/>
    </w:rPr>
  </w:style>
  <w:style w:type="character" w:customStyle="1" w:styleId="56">
    <w:name w:val="标题 字符"/>
    <w:basedOn w:val="24"/>
    <w:link w:val="21"/>
    <w:qFormat/>
    <w:uiPriority w:val="10"/>
    <w:rPr>
      <w:rFonts w:asciiTheme="majorHAnsi" w:hAnsiTheme="majorHAnsi" w:cstheme="majorBidi"/>
      <w:b/>
      <w:bCs/>
      <w:kern w:val="2"/>
      <w:sz w:val="28"/>
      <w:szCs w:val="32"/>
    </w:rPr>
  </w:style>
  <w:style w:type="paragraph" w:customStyle="1" w:styleId="57">
    <w:name w:val="Table Paragraph"/>
    <w:basedOn w:val="1"/>
    <w:qFormat/>
    <w:uiPriority w:val="0"/>
    <w:pPr>
      <w:autoSpaceDE w:val="0"/>
      <w:autoSpaceDN w:val="0"/>
      <w:jc w:val="left"/>
    </w:pPr>
    <w:rPr>
      <w:rFonts w:ascii="宋体" w:hAnsi="宋体" w:cs="宋体"/>
      <w:kern w:val="0"/>
      <w:sz w:val="22"/>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3.xml"/><Relationship Id="rId49" Type="http://schemas.openxmlformats.org/officeDocument/2006/relationships/customXml" Target="../customXml/item1.xml"/><Relationship Id="rId48" Type="http://schemas.openxmlformats.org/officeDocument/2006/relationships/image" Target="media/image41.jpe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AE18A6-F843-46A5-8431-D195542B5D7E}">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37</Pages>
  <Words>10449</Words>
  <Characters>11441</Characters>
  <Lines>93</Lines>
  <Paragraphs>26</Paragraphs>
  <TotalTime>4</TotalTime>
  <ScaleCrop>false</ScaleCrop>
  <LinksUpToDate>false</LinksUpToDate>
  <CharactersWithSpaces>11674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2016-07-21T07:16:00Z</dcterms:created>
  <dc:creator>朱子建</dc:creator>
  <cp:lastModifiedBy>张百祥</cp:lastModifiedBy>
  <cp:lastPrinted>2017-09-30T08:55:00Z</cp:lastPrinted>
  <dcterms:modified xsi:type="dcterms:W3CDTF">2023-05-25T07:31:16Z</dcterms:modified>
  <dc:title>萝岗区棠下榄园岭地块</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180A89EDA0BB441299D050CBCD139DD1_13</vt:lpwstr>
  </property>
</Properties>
</file>