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240" w:lineRule="exact"/>
        <w:jc w:val="center"/>
        <w:outlineLvl w:val="0"/>
        <w:rPr>
          <w:rFonts w:ascii="方正小标宋简体" w:hAnsi="Times New Roman" w:eastAsia="方正小标宋简体" w:cs="黑体"/>
          <w:sz w:val="44"/>
          <w:szCs w:val="44"/>
        </w:rPr>
      </w:pPr>
      <w:bookmarkStart w:id="0" w:name="_GoBack"/>
      <w:r>
        <w:rPr>
          <w:rFonts w:hint="eastAsia" w:ascii="方正小标宋简体" w:hAnsi="Times New Roman" w:eastAsia="方正小标宋简体" w:cs="黑体"/>
          <w:sz w:val="44"/>
          <w:szCs w:val="44"/>
        </w:rPr>
        <w:t>指标解释</w:t>
      </w:r>
    </w:p>
    <w:bookmarkEnd w:id="0"/>
    <w:p>
      <w:pPr>
        <w:snapToGrid w:val="0"/>
        <w:spacing w:line="560" w:lineRule="exact"/>
        <w:ind w:firstLine="640" w:firstLineChars="200"/>
        <w:rPr>
          <w:rFonts w:eastAsia="宋体"/>
        </w:rPr>
      </w:pPr>
      <w:r>
        <w:rPr>
          <w:rFonts w:hint="eastAsia" w:ascii="黑体" w:hAnsi="黑体" w:eastAsia="黑体"/>
        </w:rPr>
        <w:t>机构分组</w:t>
      </w:r>
      <w:r>
        <w:rPr>
          <w:rFonts w:hint="eastAsia" w:eastAsia="宋体"/>
        </w:rPr>
        <w:t xml:space="preserve"> </w:t>
      </w:r>
      <w:r>
        <w:rPr>
          <w:rFonts w:hint="eastAsia" w:eastAsia="宋体"/>
          <w:color w:val="FF0000"/>
        </w:rPr>
        <w:t xml:space="preserve"> </w:t>
      </w:r>
      <w:r>
        <w:rPr>
          <w:rFonts w:hint="eastAsia" w:eastAsia="宋体"/>
        </w:rPr>
        <w:t>根据网络游戏产业链各环节的构成情况，将游戏企业分为以下几种类型：</w:t>
      </w:r>
    </w:p>
    <w:p>
      <w:pPr>
        <w:snapToGrid w:val="0"/>
        <w:spacing w:line="560" w:lineRule="exact"/>
        <w:ind w:firstLine="640" w:firstLineChars="200"/>
        <w:rPr>
          <w:rFonts w:eastAsia="宋体"/>
        </w:rPr>
      </w:pPr>
      <w:r>
        <w:rPr>
          <w:rFonts w:hint="eastAsia" w:eastAsia="宋体"/>
        </w:rPr>
        <w:t>游戏研发企业：指从事移动游戏产品的创意创作及研发设计的法人单位。</w:t>
      </w:r>
    </w:p>
    <w:p>
      <w:pPr>
        <w:snapToGrid w:val="0"/>
        <w:spacing w:line="560" w:lineRule="exact"/>
        <w:ind w:firstLine="640" w:firstLineChars="200"/>
        <w:rPr>
          <w:rFonts w:eastAsia="宋体"/>
        </w:rPr>
      </w:pPr>
      <w:r>
        <w:rPr>
          <w:rFonts w:hint="eastAsia" w:eastAsia="宋体"/>
        </w:rPr>
        <w:t>游戏发行企业：指以授权或购买的方式从游戏研发企业处获得游戏产品，并从事代理发行活动的法人单位。</w:t>
      </w:r>
    </w:p>
    <w:p>
      <w:pPr>
        <w:snapToGrid w:val="0"/>
        <w:spacing w:line="560" w:lineRule="exact"/>
        <w:ind w:firstLine="640" w:firstLineChars="200"/>
        <w:rPr>
          <w:rFonts w:eastAsia="宋体"/>
        </w:rPr>
      </w:pPr>
      <w:r>
        <w:rPr>
          <w:rFonts w:hint="eastAsia" w:eastAsia="宋体"/>
        </w:rPr>
        <w:t>游戏运营企业：指借助移动应用商店或者门户，向用户推广游戏产品，提供下载入口与支付渠道的法人单位。</w:t>
      </w:r>
    </w:p>
    <w:p>
      <w:pPr>
        <w:snapToGrid w:val="0"/>
        <w:spacing w:line="560" w:lineRule="exact"/>
        <w:ind w:firstLine="640" w:firstLineChars="200"/>
        <w:rPr>
          <w:rFonts w:eastAsia="宋体"/>
        </w:rPr>
      </w:pPr>
      <w:r>
        <w:rPr>
          <w:rFonts w:hint="eastAsia" w:eastAsia="宋体"/>
        </w:rPr>
        <w:t>以及游戏相关企业，包括：</w:t>
      </w:r>
    </w:p>
    <w:p>
      <w:pPr>
        <w:snapToGrid w:val="0"/>
        <w:spacing w:line="560" w:lineRule="exact"/>
        <w:ind w:firstLine="640" w:firstLineChars="200"/>
        <w:rPr>
          <w:rFonts w:eastAsia="宋体"/>
        </w:rPr>
      </w:pPr>
      <w:r>
        <w:rPr>
          <w:rFonts w:hint="eastAsia" w:eastAsia="宋体"/>
        </w:rPr>
        <w:t>电子竞技企业：指以网络游戏为基础，从事电竞赛事组织、电竞俱乐部运营、电竞教育等相关活动的法人单位。</w:t>
      </w:r>
    </w:p>
    <w:p>
      <w:pPr>
        <w:snapToGrid w:val="0"/>
        <w:spacing w:line="560" w:lineRule="exact"/>
        <w:ind w:firstLine="640" w:firstLineChars="200"/>
        <w:rPr>
          <w:rFonts w:eastAsia="宋体"/>
        </w:rPr>
      </w:pPr>
      <w:r>
        <w:rPr>
          <w:rFonts w:hint="eastAsia" w:eastAsia="宋体"/>
        </w:rPr>
        <w:t>游戏直播企业：指借助在线直播平台开展实时网络游戏操作、解说等活动的法人单位。</w:t>
      </w:r>
    </w:p>
    <w:p>
      <w:pPr>
        <w:snapToGrid w:val="0"/>
        <w:spacing w:line="560" w:lineRule="exact"/>
        <w:ind w:firstLine="640" w:firstLineChars="200"/>
        <w:rPr>
          <w:rFonts w:eastAsia="宋体"/>
        </w:rPr>
      </w:pPr>
      <w:r>
        <w:rPr>
          <w:rFonts w:hint="eastAsia" w:eastAsia="宋体"/>
        </w:rPr>
        <w:t>游戏衍生品销售企业：指依托网络游戏产品中的角色形象，开发制造出相关衍生品（如：游戏手办、玩具、文具、服装配饰等）并对其进行销售活动的法人单位。</w:t>
      </w:r>
    </w:p>
    <w:p>
      <w:pPr>
        <w:snapToGrid w:val="0"/>
        <w:spacing w:line="560" w:lineRule="exact"/>
        <w:ind w:firstLine="640" w:firstLineChars="200"/>
        <w:rPr>
          <w:rFonts w:hint="eastAsia" w:eastAsia="宋体"/>
        </w:rPr>
      </w:pPr>
      <w:r>
        <w:rPr>
          <w:rFonts w:hint="eastAsia" w:eastAsia="宋体"/>
        </w:rPr>
        <w:t>其他：从事上述生产经营活动之外的网络游戏相关法人单位。</w:t>
      </w:r>
    </w:p>
    <w:p>
      <w:pPr>
        <w:spacing w:line="560" w:lineRule="exact"/>
        <w:ind w:firstLine="640" w:firstLineChars="200"/>
        <w:rPr>
          <w:rFonts w:hint="eastAsia" w:eastAsia="宋体"/>
        </w:rPr>
      </w:pPr>
      <w:r>
        <w:rPr>
          <w:rFonts w:hint="eastAsia" w:ascii="黑体" w:hAnsi="黑体" w:eastAsia="黑体"/>
        </w:rPr>
        <w:t>是否为高新技术企业</w:t>
      </w:r>
      <w:r>
        <w:rPr>
          <w:rFonts w:eastAsia="宋体" w:cs="黑体"/>
        </w:rPr>
        <w:t xml:space="preserve">  </w:t>
      </w:r>
      <w:r>
        <w:rPr>
          <w:rFonts w:hint="eastAsia" w:eastAsia="宋体"/>
          <w:kern w:val="0"/>
        </w:rPr>
        <w:t>指经省、自治区、直辖市、计划单列市高新技术企业认定管理机构认定，并经全国高新技术企业认定管理工作领导小组备案，获得高新技术企业证书，且证书于报告期年底尚在有效期内的企业</w:t>
      </w:r>
      <w:r>
        <w:rPr>
          <w:rFonts w:hint="eastAsia" w:eastAsia="宋体"/>
        </w:rPr>
        <w:t>。</w:t>
      </w:r>
    </w:p>
    <w:p>
      <w:pPr>
        <w:spacing w:line="560" w:lineRule="exact"/>
        <w:ind w:firstLine="640" w:firstLineChars="200"/>
        <w:rPr>
          <w:rFonts w:eastAsia="宋体"/>
        </w:rPr>
      </w:pPr>
      <w:r>
        <w:rPr>
          <w:rFonts w:hint="eastAsia" w:ascii="黑体" w:hAnsi="黑体" w:eastAsia="黑体"/>
          <w:color w:val="auto"/>
        </w:rPr>
        <w:t>海外业务收入</w:t>
      </w:r>
      <w:r>
        <w:rPr>
          <w:rFonts w:hint="eastAsia" w:eastAsia="宋体"/>
          <w:color w:val="auto"/>
        </w:rPr>
        <w:t xml:space="preserve"> </w:t>
      </w:r>
      <w:r>
        <w:rPr>
          <w:rFonts w:eastAsia="宋体"/>
        </w:rPr>
        <w:t xml:space="preserve"> </w:t>
      </w:r>
      <w:r>
        <w:rPr>
          <w:rFonts w:hint="eastAsia" w:eastAsia="宋体"/>
        </w:rPr>
        <w:t>指在中国大陆拥有版权的游戏及相关产品，在港澳台及其他国家开展推广运营，获得的相关收入。</w:t>
      </w:r>
    </w:p>
    <w:p>
      <w:pPr>
        <w:spacing w:line="560" w:lineRule="exact"/>
        <w:ind w:firstLine="640" w:firstLineChars="200"/>
        <w:rPr>
          <w:rFonts w:eastAsia="宋体"/>
        </w:rPr>
      </w:pPr>
      <w:r>
        <w:rPr>
          <w:rFonts w:hint="eastAsia" w:ascii="黑体" w:hAnsi="黑体" w:eastAsia="黑体" w:cs="黑体"/>
        </w:rPr>
        <w:t>游戏产品研究开发经费</w:t>
      </w:r>
      <w:r>
        <w:rPr>
          <w:rFonts w:hint="eastAsia" w:eastAsia="宋体"/>
        </w:rPr>
        <w:t xml:space="preserve"> </w:t>
      </w:r>
      <w:r>
        <w:rPr>
          <w:rFonts w:eastAsia="宋体"/>
        </w:rPr>
        <w:t xml:space="preserve"> </w:t>
      </w:r>
      <w:r>
        <w:rPr>
          <w:rFonts w:hint="eastAsia" w:eastAsia="宋体"/>
        </w:rPr>
        <w:t>指报告期内企业开展游戏相关产品研究开发的经费支出合计，包括企业内部的游戏相关研究开发经费支出、当年形成用于游戏研究开发活动的固定资产支出和委托外单位开展游戏研发活动的经费支出。</w:t>
      </w:r>
    </w:p>
    <w:p>
      <w:pPr>
        <w:spacing w:line="560" w:lineRule="exact"/>
        <w:ind w:firstLine="640" w:firstLineChars="200"/>
        <w:rPr>
          <w:rFonts w:eastAsia="宋体"/>
        </w:rPr>
      </w:pPr>
      <w:r>
        <w:rPr>
          <w:rFonts w:hint="eastAsia" w:ascii="黑体" w:hAnsi="黑体" w:eastAsia="黑体"/>
        </w:rPr>
        <w:t>政府补助（补贴）收入</w:t>
      </w:r>
      <w:r>
        <w:rPr>
          <w:rFonts w:hint="eastAsia" w:eastAsia="宋体"/>
        </w:rPr>
        <w:t xml:space="preserve"> 指企业从政府无偿取得货币性资产或非货币性资产，但不包括政府作为企业所有者投入的资本。</w:t>
      </w:r>
    </w:p>
    <w:p>
      <w:pPr>
        <w:spacing w:line="560" w:lineRule="exact"/>
        <w:ind w:firstLine="640" w:firstLineChars="200"/>
        <w:rPr>
          <w:rFonts w:eastAsia="宋体"/>
        </w:rPr>
      </w:pPr>
      <w:r>
        <w:rPr>
          <w:rFonts w:hint="eastAsia" w:eastAsia="宋体"/>
        </w:rPr>
        <w:t>执行2</w:t>
      </w:r>
      <w:r>
        <w:rPr>
          <w:rFonts w:eastAsia="宋体"/>
        </w:rPr>
        <w:t>006</w:t>
      </w:r>
      <w:r>
        <w:rPr>
          <w:rFonts w:hint="eastAsia" w:eastAsia="宋体"/>
        </w:rPr>
        <w:t>年《企业会计准则》或执行2</w:t>
      </w:r>
      <w:r>
        <w:rPr>
          <w:rFonts w:eastAsia="宋体"/>
        </w:rPr>
        <w:t>011</w:t>
      </w:r>
      <w:r>
        <w:rPr>
          <w:rFonts w:hint="eastAsia" w:eastAsia="宋体"/>
        </w:rPr>
        <w:t>年《小企业会计准则》的企业，如果会计“损益表”（利润表）列示“营业外收入-政府补助”项目，则填报该项目为本年累计数；或者可根据会计“营业外收入-政府补助”科目填报，一般为年初至期末贷方累计发生额，反映企业自年初到期末收到的政府补助合计数。</w:t>
      </w:r>
    </w:p>
    <w:p>
      <w:pPr>
        <w:spacing w:line="560" w:lineRule="exact"/>
        <w:ind w:firstLine="640" w:firstLineChars="200"/>
        <w:rPr>
          <w:rFonts w:hint="eastAsia" w:eastAsia="宋体"/>
        </w:rPr>
      </w:pPr>
      <w:r>
        <w:rPr>
          <w:rFonts w:hint="eastAsia" w:eastAsia="宋体"/>
        </w:rPr>
        <w:t>执行其他企业会计制度的企业，填报会计“损益表”（利润表）“补贴收入”项目的本年累计数，或者可根据会计“补贴收入”科目填报，一般为年初至期末贷方累计发生额，反映企业自年初到期末收到的政府补助合计数。</w:t>
      </w:r>
    </w:p>
    <w:p>
      <w:pPr>
        <w:spacing w:line="560" w:lineRule="exact"/>
        <w:ind w:firstLine="595" w:firstLineChars="186"/>
        <w:rPr>
          <w:rFonts w:eastAsia="宋体"/>
        </w:rPr>
      </w:pPr>
      <w:r>
        <w:rPr>
          <w:rFonts w:hint="eastAsia" w:ascii="黑体" w:hAnsi="黑体" w:eastAsia="黑体"/>
        </w:rPr>
        <w:t xml:space="preserve">本年实交税金总额 </w:t>
      </w:r>
      <w:r>
        <w:rPr>
          <w:rFonts w:ascii="黑体" w:hAnsi="黑体" w:eastAsia="黑体"/>
        </w:rPr>
        <w:t xml:space="preserve"> </w:t>
      </w:r>
      <w:r>
        <w:rPr>
          <w:rFonts w:hint="eastAsia" w:eastAsia="宋体"/>
        </w:rPr>
        <w:t>指企业在报告期内实际上交的各项税金，按当年实际发生额填报。</w:t>
      </w:r>
    </w:p>
    <w:p>
      <w:pPr>
        <w:spacing w:line="560" w:lineRule="exact"/>
        <w:ind w:firstLine="595" w:firstLineChars="186"/>
        <w:rPr>
          <w:rFonts w:eastAsia="宋体"/>
        </w:rPr>
      </w:pPr>
      <w:r>
        <w:rPr>
          <w:rFonts w:hint="eastAsia" w:ascii="黑体" w:hAnsi="黑体" w:eastAsia="黑体"/>
        </w:rPr>
        <w:t xml:space="preserve">本年实际减免税额 </w:t>
      </w:r>
      <w:r>
        <w:rPr>
          <w:rFonts w:eastAsia="宋体"/>
        </w:rPr>
        <w:t xml:space="preserve"> </w:t>
      </w:r>
      <w:r>
        <w:rPr>
          <w:rFonts w:hint="eastAsia" w:eastAsia="宋体"/>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沈朴办理的先征后退（即征即退）、财政部门审批办理的流转税先征后退减免。</w:t>
      </w:r>
    </w:p>
    <w:p>
      <w:pPr>
        <w:spacing w:line="560" w:lineRule="exact"/>
        <w:ind w:firstLine="595" w:firstLineChars="186"/>
        <w:rPr>
          <w:rFonts w:eastAsia="宋体"/>
        </w:rPr>
      </w:pPr>
      <w:r>
        <w:rPr>
          <w:rFonts w:hint="eastAsia" w:ascii="黑体" w:hAnsi="黑体" w:eastAsia="黑体"/>
        </w:rPr>
        <w:t xml:space="preserve">拥有中高级职称人数 </w:t>
      </w:r>
      <w:r>
        <w:rPr>
          <w:rFonts w:eastAsia="宋体"/>
        </w:rPr>
        <w:t xml:space="preserve"> </w:t>
      </w:r>
      <w:r>
        <w:rPr>
          <w:rFonts w:hint="eastAsia" w:eastAsia="宋体"/>
        </w:rPr>
        <w:t>指企业从业人员中已评定为高级和中级技术职称（职务）的人员。高级技术职称人员包括：高级工程师、高级经济师、高级会计师、高级统计师、正副教授、政府研究员等；中级技术支撑人员包括：工程师、经济师、会计师、统计师、讲师、助理研究员等。</w:t>
      </w:r>
    </w:p>
    <w:p>
      <w:pPr>
        <w:spacing w:line="560" w:lineRule="exact"/>
        <w:ind w:firstLine="595" w:firstLineChars="186"/>
        <w:rPr>
          <w:rFonts w:eastAsia="宋体"/>
        </w:rPr>
      </w:pPr>
      <w:r>
        <w:rPr>
          <w:rFonts w:hint="eastAsia" w:ascii="黑体" w:hAnsi="黑体" w:eastAsia="黑体"/>
        </w:rPr>
        <w:t xml:space="preserve">当年入职人数 </w:t>
      </w:r>
      <w:r>
        <w:rPr>
          <w:rFonts w:eastAsia="宋体"/>
        </w:rPr>
        <w:t xml:space="preserve"> </w:t>
      </w:r>
      <w:r>
        <w:rPr>
          <w:rFonts w:hint="eastAsia" w:eastAsia="宋体"/>
        </w:rPr>
        <w:t>指报告期内本企业新增录用的从业人员，包括在岗职工、再就业的离退休人员以及在各单位中工作的外方人员和港澳台方人员、兼职人员、借用的外单位人员和第二职业者等，但不包括离开本单位仍保留劳动关系的职工、实习生等。</w:t>
      </w:r>
    </w:p>
    <w:p>
      <w:pPr>
        <w:spacing w:line="560" w:lineRule="exact"/>
        <w:ind w:firstLine="595" w:firstLineChars="186"/>
        <w:rPr>
          <w:rFonts w:hint="eastAsia" w:eastAsia="宋体"/>
        </w:rPr>
      </w:pPr>
      <w:r>
        <w:rPr>
          <w:rFonts w:hint="eastAsia" w:ascii="黑体" w:hAnsi="黑体" w:eastAsia="黑体"/>
        </w:rPr>
        <w:t xml:space="preserve">当年离职人数 </w:t>
      </w:r>
      <w:r>
        <w:rPr>
          <w:rFonts w:ascii="黑体" w:hAnsi="黑体" w:eastAsia="黑体"/>
        </w:rPr>
        <w:t xml:space="preserve"> </w:t>
      </w:r>
      <w:r>
        <w:rPr>
          <w:rFonts w:hint="eastAsia" w:eastAsia="宋体"/>
        </w:rPr>
        <w:t>指报告期内本企业解除劳动关系的从业人员，包括在岗职工、再就业的离退休人员以及在各单位中工作的外方人员和港澳台方人员、兼职人员、借用的外单位人员和第二职业者等，但不包括离开本单位仍保留劳动关系的职工、实习生等。</w:t>
      </w:r>
    </w:p>
    <w:p>
      <w:pPr>
        <w:spacing w:line="560" w:lineRule="exact"/>
        <w:ind w:firstLine="595" w:firstLineChars="186"/>
        <w:rPr>
          <w:rFonts w:eastAsia="宋体"/>
        </w:rPr>
      </w:pPr>
      <w:r>
        <w:rPr>
          <w:rFonts w:hint="eastAsia" w:ascii="黑体" w:hAnsi="黑体" w:eastAsia="黑体"/>
          <w:color w:val="auto"/>
        </w:rPr>
        <w:t xml:space="preserve">当年开展科技项目数 </w:t>
      </w:r>
      <w:r>
        <w:rPr>
          <w:rFonts w:hint="eastAsia" w:eastAsia="宋体"/>
        </w:rPr>
        <w:t xml:space="preserve"> 指报告期内企业投入一定的科研人员、资金资源，为了特定的研究目标开展一系列科学研究和技术开发活动的数量。</w:t>
      </w:r>
    </w:p>
    <w:p>
      <w:pPr>
        <w:spacing w:line="560" w:lineRule="exact"/>
        <w:ind w:firstLine="595" w:firstLineChars="186"/>
        <w:rPr>
          <w:rFonts w:eastAsia="宋体"/>
        </w:rPr>
      </w:pPr>
      <w:r>
        <w:rPr>
          <w:rFonts w:hint="eastAsia" w:ascii="黑体" w:hAnsi="黑体" w:eastAsia="黑体"/>
        </w:rPr>
        <w:t>当年开展科技项目数 其中：国家级科技计划项目</w:t>
      </w:r>
      <w:r>
        <w:rPr>
          <w:rFonts w:hint="eastAsia" w:eastAsia="宋体"/>
        </w:rPr>
        <w:t xml:space="preserve"> </w:t>
      </w:r>
      <w:r>
        <w:rPr>
          <w:rFonts w:eastAsia="宋体"/>
        </w:rPr>
        <w:t xml:space="preserve"> </w:t>
      </w:r>
      <w:r>
        <w:rPr>
          <w:rFonts w:hint="eastAsia" w:eastAsia="宋体"/>
        </w:rPr>
        <w:t>指企业在报告期内获得的国家级政府部门批准立项的各类科学研究与技术开发项目数量。</w:t>
      </w:r>
    </w:p>
    <w:p>
      <w:pPr>
        <w:spacing w:line="560" w:lineRule="exact"/>
        <w:ind w:firstLine="595" w:firstLineChars="186"/>
        <w:rPr>
          <w:rFonts w:hint="eastAsia" w:eastAsia="宋体"/>
        </w:rPr>
      </w:pPr>
      <w:r>
        <w:rPr>
          <w:rFonts w:hint="eastAsia" w:ascii="黑体" w:hAnsi="黑体" w:eastAsia="黑体"/>
        </w:rPr>
        <w:t xml:space="preserve">当年开展科技项目数 其中：省级科技计划项目 </w:t>
      </w:r>
      <w:r>
        <w:rPr>
          <w:rFonts w:eastAsia="宋体"/>
        </w:rPr>
        <w:t xml:space="preserve"> </w:t>
      </w:r>
      <w:r>
        <w:rPr>
          <w:rFonts w:hint="eastAsia" w:eastAsia="宋体"/>
        </w:rPr>
        <w:t>指企业在报告期内获得的省级政府部门批准立项的各类科学研究与技术开发项目数量。</w:t>
      </w:r>
    </w:p>
    <w:p>
      <w:pPr>
        <w:spacing w:line="560" w:lineRule="exact"/>
        <w:ind w:firstLine="595" w:firstLineChars="186"/>
        <w:rPr>
          <w:rFonts w:eastAsia="宋体"/>
        </w:rPr>
      </w:pPr>
      <w:r>
        <w:rPr>
          <w:rFonts w:hint="eastAsia" w:ascii="黑体" w:hAnsi="黑体" w:eastAsia="黑体"/>
        </w:rPr>
        <w:t>当年开展科技项目数 其中：市级科技计划项目</w:t>
      </w:r>
      <w:r>
        <w:rPr>
          <w:rFonts w:hint="eastAsia" w:eastAsia="宋体"/>
        </w:rPr>
        <w:t xml:space="preserve"> </w:t>
      </w:r>
      <w:r>
        <w:rPr>
          <w:rFonts w:eastAsia="宋体"/>
        </w:rPr>
        <w:t xml:space="preserve"> </w:t>
      </w:r>
      <w:r>
        <w:rPr>
          <w:rFonts w:hint="eastAsia" w:eastAsia="宋体"/>
        </w:rPr>
        <w:t>指企业在报告期内获得的市级政府部门批准立项的各类科学研究与技术开发项目数量。</w:t>
      </w:r>
    </w:p>
    <w:p>
      <w:pPr>
        <w:spacing w:line="560" w:lineRule="exact"/>
        <w:ind w:firstLine="595" w:firstLineChars="186"/>
        <w:rPr>
          <w:rFonts w:eastAsia="宋体"/>
        </w:rPr>
      </w:pPr>
      <w:r>
        <w:rPr>
          <w:rFonts w:hint="eastAsia" w:ascii="黑体" w:hAnsi="黑体" w:eastAsia="黑体"/>
        </w:rPr>
        <w:t>当年申请专利数</w:t>
      </w:r>
      <w:r>
        <w:rPr>
          <w:rFonts w:hint="eastAsia" w:eastAsia="宋体"/>
        </w:rPr>
        <w:t xml:space="preserve"> </w:t>
      </w:r>
      <w:r>
        <w:rPr>
          <w:rFonts w:eastAsia="宋体"/>
        </w:rPr>
        <w:t xml:space="preserve"> </w:t>
      </w:r>
      <w:r>
        <w:rPr>
          <w:rFonts w:hint="eastAsia" w:eastAsia="宋体"/>
        </w:rPr>
        <w:t>指报告期内企业作为第一申请人向境内外知识产权行政部门提出专利申请并被受理的件数。</w:t>
      </w:r>
    </w:p>
    <w:p>
      <w:pPr>
        <w:spacing w:line="560" w:lineRule="exact"/>
        <w:ind w:firstLine="595" w:firstLineChars="186"/>
        <w:rPr>
          <w:rFonts w:eastAsia="宋体"/>
        </w:rPr>
      </w:pPr>
      <w:r>
        <w:rPr>
          <w:rFonts w:hint="eastAsia" w:ascii="黑体" w:hAnsi="黑体" w:eastAsia="黑体"/>
        </w:rPr>
        <w:t>当年申请专利数 其中：发明专利</w:t>
      </w:r>
      <w:r>
        <w:rPr>
          <w:rFonts w:hint="eastAsia" w:eastAsia="宋体"/>
        </w:rPr>
        <w:t xml:space="preserve"> </w:t>
      </w:r>
      <w:r>
        <w:rPr>
          <w:rFonts w:eastAsia="宋体"/>
        </w:rPr>
        <w:t xml:space="preserve"> </w:t>
      </w:r>
      <w:r>
        <w:rPr>
          <w:rFonts w:hint="eastAsia" w:eastAsia="宋体"/>
        </w:rPr>
        <w:t>指指报告期内企业作为第一申请人向境内外知识产权行政部门提出发明专利申请并被受理的件数。</w:t>
      </w:r>
    </w:p>
    <w:p>
      <w:pPr>
        <w:spacing w:line="560" w:lineRule="exact"/>
        <w:ind w:firstLine="595" w:firstLineChars="186"/>
        <w:rPr>
          <w:rFonts w:eastAsia="宋体"/>
        </w:rPr>
      </w:pPr>
      <w:r>
        <w:rPr>
          <w:rFonts w:hint="eastAsia" w:ascii="黑体" w:hAnsi="黑体" w:eastAsia="黑体"/>
        </w:rPr>
        <w:t>当年授权专利数</w:t>
      </w:r>
      <w:r>
        <w:rPr>
          <w:rFonts w:hint="eastAsia" w:eastAsia="宋体"/>
        </w:rPr>
        <w:t xml:space="preserve"> </w:t>
      </w:r>
      <w:r>
        <w:rPr>
          <w:rFonts w:eastAsia="宋体"/>
        </w:rPr>
        <w:t xml:space="preserve"> </w:t>
      </w:r>
      <w:r>
        <w:rPr>
          <w:rFonts w:hint="eastAsia" w:eastAsia="宋体"/>
        </w:rPr>
        <w:t>指企业作为第一专利权人，在报告年度内获得的经境内外专利行政部门授权的专利件数。</w:t>
      </w:r>
    </w:p>
    <w:p>
      <w:pPr>
        <w:spacing w:line="560" w:lineRule="exact"/>
        <w:ind w:firstLine="595" w:firstLineChars="186"/>
        <w:rPr>
          <w:rFonts w:eastAsia="宋体"/>
        </w:rPr>
      </w:pPr>
      <w:r>
        <w:rPr>
          <w:rFonts w:hint="eastAsia" w:ascii="黑体" w:hAnsi="黑体" w:eastAsia="黑体"/>
        </w:rPr>
        <w:t>当年授权专利数 其中：发明专利</w:t>
      </w:r>
      <w:r>
        <w:rPr>
          <w:rFonts w:hint="eastAsia" w:eastAsia="宋体"/>
        </w:rPr>
        <w:t xml:space="preserve"> </w:t>
      </w:r>
      <w:r>
        <w:rPr>
          <w:rFonts w:eastAsia="宋体"/>
        </w:rPr>
        <w:t xml:space="preserve"> </w:t>
      </w:r>
      <w:r>
        <w:rPr>
          <w:rFonts w:hint="eastAsia" w:eastAsia="宋体"/>
        </w:rPr>
        <w:t>指企业作为第一专利权人，在报告年度内获得的经境内外专利行政部门授权的发明专利件数。</w:t>
      </w:r>
    </w:p>
    <w:p>
      <w:pPr>
        <w:spacing w:line="560" w:lineRule="exact"/>
        <w:ind w:firstLine="595" w:firstLineChars="186"/>
        <w:rPr>
          <w:rFonts w:eastAsia="宋体"/>
        </w:rPr>
      </w:pPr>
      <w:r>
        <w:rPr>
          <w:rFonts w:hint="eastAsia" w:ascii="黑体" w:hAnsi="黑体" w:eastAsia="黑体"/>
        </w:rPr>
        <w:t>拥有有效专利数</w:t>
      </w:r>
      <w:r>
        <w:rPr>
          <w:rFonts w:hint="eastAsia" w:eastAsia="宋体"/>
        </w:rPr>
        <w:t xml:space="preserve"> </w:t>
      </w:r>
      <w:r>
        <w:rPr>
          <w:rFonts w:eastAsia="宋体"/>
        </w:rPr>
        <w:t xml:space="preserve"> </w:t>
      </w:r>
      <w:r>
        <w:rPr>
          <w:rFonts w:hint="eastAsia" w:eastAsia="宋体"/>
        </w:rPr>
        <w:t>指报告期末企业作为第一专利权人拥有的、经国内外知识产权行政部门授权且在有效期内的专利件数。</w:t>
      </w:r>
    </w:p>
    <w:p>
      <w:pPr>
        <w:spacing w:line="560" w:lineRule="exact"/>
        <w:ind w:firstLine="595" w:firstLineChars="186"/>
        <w:rPr>
          <w:rFonts w:eastAsia="宋体"/>
        </w:rPr>
      </w:pPr>
      <w:r>
        <w:rPr>
          <w:rFonts w:hint="eastAsia" w:ascii="黑体" w:hAnsi="黑体" w:eastAsia="黑体"/>
        </w:rPr>
        <w:t>拥有有效专利数 其中：发明专利</w:t>
      </w:r>
      <w:r>
        <w:rPr>
          <w:rFonts w:hint="eastAsia" w:eastAsia="宋体"/>
        </w:rPr>
        <w:t xml:space="preserve"> </w:t>
      </w:r>
      <w:r>
        <w:rPr>
          <w:rFonts w:eastAsia="宋体"/>
        </w:rPr>
        <w:t xml:space="preserve"> </w:t>
      </w:r>
      <w:r>
        <w:rPr>
          <w:rFonts w:hint="eastAsia" w:eastAsia="宋体"/>
        </w:rPr>
        <w:t>指报告期末企业作为第一专利权人拥有的、经国内外知识产权行政部门授权且在有效期内的发明专利件数。</w:t>
      </w:r>
    </w:p>
    <w:p>
      <w:pPr>
        <w:spacing w:line="560" w:lineRule="exact"/>
        <w:ind w:firstLine="595" w:firstLineChars="186"/>
        <w:rPr>
          <w:rFonts w:eastAsia="宋体"/>
        </w:rPr>
      </w:pPr>
      <w:r>
        <w:rPr>
          <w:rFonts w:hint="eastAsia" w:ascii="黑体" w:hAnsi="黑体" w:eastAsia="黑体"/>
        </w:rPr>
        <w:t>当年获得软件著作权数</w:t>
      </w:r>
      <w:r>
        <w:rPr>
          <w:rFonts w:hint="eastAsia" w:eastAsia="宋体"/>
        </w:rPr>
        <w:t xml:space="preserve"> </w:t>
      </w:r>
      <w:r>
        <w:rPr>
          <w:rFonts w:eastAsia="宋体"/>
        </w:rPr>
        <w:t xml:space="preserve"> </w:t>
      </w:r>
      <w:r>
        <w:rPr>
          <w:rFonts w:hint="eastAsia" w:eastAsia="宋体"/>
        </w:rPr>
        <w:t>指企业在报告期内作为第一权利人拥有的，经国务院知识产权行政部门按照《中华人民共和国计算机软件保护条例》对计算机程序和文档授予的著作权保护，且在有效期内的软件著作权数量。</w:t>
      </w:r>
    </w:p>
    <w:p>
      <w:pPr>
        <w:spacing w:line="560" w:lineRule="exact"/>
        <w:ind w:firstLine="595" w:firstLineChars="186"/>
        <w:rPr>
          <w:rFonts w:hint="eastAsia" w:eastAsia="宋体"/>
        </w:rPr>
      </w:pPr>
      <w:r>
        <w:rPr>
          <w:rFonts w:hint="eastAsia" w:ascii="黑体" w:hAnsi="黑体" w:eastAsia="黑体"/>
        </w:rPr>
        <w:t>拥有软件著作权总数</w:t>
      </w:r>
      <w:r>
        <w:rPr>
          <w:rFonts w:hint="eastAsia" w:eastAsia="宋体"/>
        </w:rPr>
        <w:t xml:space="preserve"> </w:t>
      </w:r>
      <w:r>
        <w:rPr>
          <w:rFonts w:eastAsia="宋体"/>
        </w:rPr>
        <w:t xml:space="preserve"> </w:t>
      </w:r>
      <w:r>
        <w:rPr>
          <w:rFonts w:hint="eastAsia" w:eastAsia="宋体"/>
        </w:rPr>
        <w:t>指企业在报告期末作为第一权利人拥有的，经国务院知识产权行政部门按照《中华人民共和国计算机软件保护条例》对计算机程序和文档授予的著作权保护，且在有效期内的软件著作权数量。</w:t>
      </w:r>
    </w:p>
    <w:p>
      <w:pPr>
        <w:spacing w:line="560" w:lineRule="exact"/>
        <w:ind w:firstLine="595" w:firstLineChars="186"/>
        <w:rPr>
          <w:rFonts w:eastAsia="宋体"/>
          <w:color w:val="auto"/>
        </w:rPr>
      </w:pPr>
      <w:r>
        <w:rPr>
          <w:rFonts w:hint="eastAsia" w:ascii="黑体" w:hAnsi="黑体" w:eastAsia="黑体"/>
        </w:rPr>
        <w:t>当年获得游戏版号数量</w:t>
      </w:r>
      <w:r>
        <w:rPr>
          <w:rFonts w:hint="eastAsia" w:eastAsia="宋体"/>
        </w:rPr>
        <w:t xml:space="preserve"> </w:t>
      </w:r>
      <w:r>
        <w:rPr>
          <w:rFonts w:eastAsia="宋体"/>
        </w:rPr>
        <w:t xml:space="preserve"> </w:t>
      </w:r>
      <w:r>
        <w:rPr>
          <w:rFonts w:hint="eastAsia" w:eastAsia="宋体"/>
        </w:rPr>
        <w:t>指获得国家新闻出版广电总局批准</w:t>
      </w:r>
      <w:r>
        <w:rPr>
          <w:rFonts w:hint="eastAsia" w:eastAsia="宋体"/>
          <w:color w:val="auto"/>
        </w:rPr>
        <w:t>相关游戏出版运营的批文号的游戏产品数量，包括游戏的批准文号和I</w:t>
      </w:r>
      <w:r>
        <w:rPr>
          <w:rFonts w:eastAsia="宋体"/>
          <w:color w:val="auto"/>
        </w:rPr>
        <w:t>S</w:t>
      </w:r>
      <w:r>
        <w:rPr>
          <w:rFonts w:hint="eastAsia" w:eastAsia="宋体"/>
          <w:color w:val="auto"/>
        </w:rPr>
        <w:t>BN号。</w:t>
      </w:r>
    </w:p>
    <w:p>
      <w:pPr>
        <w:spacing w:line="560" w:lineRule="exact"/>
        <w:ind w:firstLine="595" w:firstLineChars="186"/>
        <w:rPr>
          <w:rFonts w:eastAsia="宋体"/>
          <w:color w:val="auto"/>
        </w:rPr>
      </w:pPr>
      <w:r>
        <w:rPr>
          <w:rFonts w:hint="eastAsia" w:ascii="黑体" w:hAnsi="黑体" w:eastAsia="黑体"/>
          <w:color w:val="auto"/>
        </w:rPr>
        <w:t>当年上线游戏产品数量</w:t>
      </w:r>
      <w:r>
        <w:rPr>
          <w:rFonts w:hint="eastAsia" w:eastAsia="宋体"/>
          <w:color w:val="auto"/>
        </w:rPr>
        <w:t xml:space="preserve"> </w:t>
      </w:r>
      <w:r>
        <w:rPr>
          <w:rFonts w:eastAsia="宋体"/>
          <w:color w:val="auto"/>
        </w:rPr>
        <w:t xml:space="preserve"> </w:t>
      </w:r>
      <w:r>
        <w:rPr>
          <w:rFonts w:hint="eastAsia" w:eastAsia="宋体"/>
          <w:color w:val="auto"/>
        </w:rPr>
        <w:t>指企业在报告期内将游戏产品正式向公众发布，并开展一系列运营活动，以获得相关收益的游戏产品数量。</w:t>
      </w:r>
    </w:p>
    <w:p>
      <w:pPr>
        <w:spacing w:line="560" w:lineRule="exact"/>
        <w:ind w:firstLine="595" w:firstLineChars="186"/>
        <w:rPr>
          <w:rFonts w:eastAsia="宋体"/>
        </w:rPr>
      </w:pPr>
      <w:r>
        <w:rPr>
          <w:rFonts w:hint="eastAsia" w:ascii="黑体" w:hAnsi="黑体" w:eastAsia="黑体"/>
          <w:color w:val="auto"/>
        </w:rPr>
        <w:t>运营中的游戏产品数量</w:t>
      </w:r>
      <w:r>
        <w:rPr>
          <w:rFonts w:hint="eastAsia" w:eastAsia="宋体"/>
          <w:color w:val="auto"/>
        </w:rPr>
        <w:t xml:space="preserve"> </w:t>
      </w:r>
      <w:r>
        <w:rPr>
          <w:rFonts w:eastAsia="宋体"/>
          <w:color w:val="auto"/>
        </w:rPr>
        <w:t xml:space="preserve"> </w:t>
      </w:r>
      <w:r>
        <w:rPr>
          <w:rFonts w:hint="eastAsia" w:eastAsia="宋体"/>
          <w:color w:val="auto"/>
        </w:rPr>
        <w:t>指企业在</w:t>
      </w:r>
      <w:r>
        <w:rPr>
          <w:rFonts w:hint="eastAsia" w:eastAsia="宋体"/>
        </w:rPr>
        <w:t>报告期末，仍可通过公开渠道下载、使用的游戏产品数量。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613B"/>
    <w:rsid w:val="45DB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华文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2022-03-24T01:59:00Z</dcterms:created>
  <dc:creator>ming</dc:creator>
  <cp:lastModifiedBy>ming</cp:lastModifiedBy>
  <dcterms:modified xsi:type="dcterms:W3CDTF">2022-03-24T01:59:13Z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42A765857571436CA68EB8E28F4D3F67</vt:lpwstr>
  </property>
</Properties>
</file>